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ED511">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14:paraId="5E7A2E1B">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14:paraId="6A4DBC52">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大理州第二人民医院2025年药物基因检测试剂耗材采购项目（二次）</w:t>
      </w:r>
    </w:p>
    <w:p w14:paraId="2A047491">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14:paraId="351CAEE2">
      <w:pPr>
        <w:pStyle w:val="2"/>
        <w:rPr>
          <w:rFonts w:hint="default" w:ascii="Times New Roman" w:hAnsi="Times New Roman" w:cs="Times New Roman"/>
          <w:color w:val="auto"/>
          <w:sz w:val="28"/>
          <w:szCs w:val="28"/>
          <w:lang w:val="en-US" w:eastAsia="zh-CN"/>
        </w:rPr>
      </w:pPr>
    </w:p>
    <w:p w14:paraId="0718967A">
      <w:pPr>
        <w:rPr>
          <w:rFonts w:hint="default" w:ascii="Times New Roman" w:hAnsi="Times New Roman" w:cs="Times New Roman"/>
          <w:lang w:val="en-US" w:eastAsia="zh-CN"/>
        </w:rPr>
      </w:pPr>
    </w:p>
    <w:p w14:paraId="3FEC393D">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询价采购文件</w:t>
      </w:r>
    </w:p>
    <w:p w14:paraId="54A72F5D">
      <w:pPr>
        <w:pStyle w:val="2"/>
        <w:rPr>
          <w:rFonts w:hint="default" w:ascii="Times New Roman" w:hAnsi="Times New Roman" w:cs="Times New Roman"/>
          <w:color w:val="auto"/>
          <w:sz w:val="44"/>
          <w:szCs w:val="44"/>
          <w:lang w:val="en-US" w:eastAsia="zh-CN"/>
        </w:rPr>
      </w:pPr>
    </w:p>
    <w:p w14:paraId="005A0F0C">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14:paraId="0E751AB1">
      <w:pPr>
        <w:pStyle w:val="2"/>
        <w:rPr>
          <w:rFonts w:hint="default" w:ascii="Times New Roman" w:hAnsi="Times New Roman" w:cs="Times New Roman"/>
          <w:color w:val="auto"/>
          <w:sz w:val="44"/>
          <w:szCs w:val="44"/>
          <w:lang w:val="en-US" w:eastAsia="zh-CN"/>
        </w:rPr>
      </w:pPr>
    </w:p>
    <w:p w14:paraId="076D19E7">
      <w:pPr>
        <w:rPr>
          <w:rFonts w:hint="default" w:ascii="Times New Roman" w:hAnsi="Times New Roman" w:cs="Times New Roman"/>
          <w:lang w:val="en-US" w:eastAsia="zh-CN"/>
        </w:rPr>
      </w:pPr>
    </w:p>
    <w:p w14:paraId="1C51E2A1">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项目编号：</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default" w:ascii="Times New Roman" w:hAnsi="Times New Roman" w:cs="Times New Roman"/>
          <w:b w:val="0"/>
          <w:bCs w:val="0"/>
          <w:color w:val="auto"/>
          <w:sz w:val="32"/>
          <w:szCs w:val="32"/>
          <w:u w:val="single" w:color="auto"/>
          <w:lang w:val="en-US" w:eastAsia="zh-CN"/>
        </w:rPr>
        <w:t>DLZEYZCB-2025-0</w:t>
      </w:r>
      <w:r>
        <w:rPr>
          <w:rFonts w:hint="eastAsia" w:ascii="Times New Roman" w:hAnsi="Times New Roman" w:cs="Times New Roman"/>
          <w:b w:val="0"/>
          <w:bCs w:val="0"/>
          <w:color w:val="auto"/>
          <w:sz w:val="32"/>
          <w:szCs w:val="32"/>
          <w:u w:val="single" w:color="auto"/>
          <w:lang w:val="en-US" w:eastAsia="zh-CN"/>
        </w:rPr>
        <w:t>5</w:t>
      </w:r>
      <w:r>
        <w:rPr>
          <w:rFonts w:hint="default" w:ascii="Times New Roman" w:hAnsi="Times New Roman" w:cs="Times New Roman"/>
          <w:b w:val="0"/>
          <w:bCs w:val="0"/>
          <w:color w:val="auto"/>
          <w:sz w:val="32"/>
          <w:szCs w:val="32"/>
          <w:u w:val="single" w:color="auto"/>
          <w:lang w:val="en-US" w:eastAsia="zh-CN"/>
        </w:rPr>
        <w:t xml:space="preserve"> </w:t>
      </w:r>
    </w:p>
    <w:p w14:paraId="4B5132F3">
      <w:pPr>
        <w:keepNext w:val="0"/>
        <w:keepLines w:val="0"/>
        <w:pageBreakBefore w:val="0"/>
        <w:kinsoku/>
        <w:wordWrap/>
        <w:overflowPunct/>
        <w:topLinePunct w:val="0"/>
        <w:autoSpaceDE/>
        <w:autoSpaceDN/>
        <w:bidi w:val="0"/>
        <w:spacing w:line="460" w:lineRule="exact"/>
        <w:ind w:left="1405" w:hanging="1600" w:hangingChars="500"/>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项目名称：</w:t>
      </w:r>
      <w:r>
        <w:rPr>
          <w:rFonts w:hint="eastAsia" w:ascii="Times New Roman" w:hAnsi="Times New Roman" w:cs="Times New Roman"/>
          <w:b w:val="0"/>
          <w:bCs w:val="0"/>
          <w:color w:val="auto"/>
          <w:sz w:val="32"/>
          <w:szCs w:val="32"/>
          <w:u w:val="single"/>
          <w:lang w:val="en-US" w:eastAsia="zh-CN"/>
        </w:rPr>
        <w:t>大理州第二人民医院2025年药物基因检测试剂耗材采购项目（二次）</w:t>
      </w:r>
    </w:p>
    <w:p w14:paraId="1CBCEF5B">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采购人：</w:t>
      </w:r>
      <w:r>
        <w:rPr>
          <w:rFonts w:hint="default" w:ascii="Times New Roman" w:hAnsi="Times New Roman" w:eastAsia="方正仿宋_GBK" w:cs="Times New Roman"/>
          <w:b w:val="0"/>
          <w:bCs w:val="0"/>
          <w:color w:val="auto"/>
          <w:sz w:val="32"/>
          <w:szCs w:val="32"/>
          <w:u w:val="single"/>
          <w:lang w:val="en-US" w:eastAsia="zh-CN"/>
        </w:rPr>
        <w:t xml:space="preserve">大理白族自治州第二人民医院 </w:t>
      </w:r>
    </w:p>
    <w:p w14:paraId="0B7D652D">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lang w:val="en-US" w:eastAsia="zh-CN"/>
        </w:rPr>
        <w:t>归口部门：</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cs="Times New Roman"/>
          <w:b w:val="0"/>
          <w:bCs w:val="0"/>
          <w:color w:val="auto"/>
          <w:sz w:val="32"/>
          <w:szCs w:val="32"/>
          <w:u w:val="single"/>
          <w:lang w:val="en-US" w:eastAsia="zh-CN"/>
        </w:rPr>
        <w:t>设备科</w:t>
      </w:r>
      <w:r>
        <w:rPr>
          <w:rFonts w:hint="default" w:ascii="Times New Roman" w:hAnsi="Times New Roman" w:eastAsia="方正仿宋_GBK" w:cs="Times New Roman"/>
          <w:b w:val="0"/>
          <w:bCs w:val="0"/>
          <w:color w:val="auto"/>
          <w:sz w:val="32"/>
          <w:szCs w:val="32"/>
          <w:u w:val="single"/>
          <w:lang w:val="en-US" w:eastAsia="zh-CN"/>
        </w:rPr>
        <w:t xml:space="preserve">   </w:t>
      </w:r>
    </w:p>
    <w:p w14:paraId="131125B4">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实施部门：</w:t>
      </w:r>
      <w:r>
        <w:rPr>
          <w:rFonts w:hint="default" w:ascii="Times New Roman" w:hAnsi="Times New Roman" w:eastAsia="方正仿宋_GBK" w:cs="Times New Roman"/>
          <w:b w:val="0"/>
          <w:bCs w:val="0"/>
          <w:color w:val="auto"/>
          <w:sz w:val="32"/>
          <w:szCs w:val="32"/>
          <w:u w:val="single" w:color="auto"/>
          <w:lang w:val="en-US" w:eastAsia="zh-CN"/>
        </w:rPr>
        <w:t xml:space="preserve">招标采购办公室 </w:t>
      </w:r>
    </w:p>
    <w:p w14:paraId="3BF620BE">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地址：</w:t>
      </w:r>
      <w:r>
        <w:rPr>
          <w:rFonts w:hint="default" w:ascii="Times New Roman" w:hAnsi="Times New Roman" w:eastAsia="方正仿宋_GBK" w:cs="Times New Roman"/>
          <w:b w:val="0"/>
          <w:bCs w:val="0"/>
          <w:color w:val="auto"/>
          <w:sz w:val="32"/>
          <w:szCs w:val="32"/>
          <w:lang w:val="en-US" w:eastAsia="zh-CN"/>
        </w:rPr>
        <w:t>大理市满江街道红山路与太和路交汇处</w:t>
      </w:r>
    </w:p>
    <w:p w14:paraId="191FB9FB">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rPr>
        <w:t xml:space="preserve">时间： </w:t>
      </w:r>
      <w:r>
        <w:rPr>
          <w:rFonts w:hint="default" w:ascii="Times New Roman" w:hAnsi="Times New Roman" w:eastAsia="方正仿宋_GBK" w:cs="Times New Roman"/>
          <w:b w:val="0"/>
          <w:bCs w:val="0"/>
          <w:color w:val="auto"/>
          <w:sz w:val="32"/>
          <w:szCs w:val="32"/>
          <w:u w:val="single" w:color="auto"/>
        </w:rPr>
        <w:t xml:space="preserve"> </w:t>
      </w:r>
      <w:r>
        <w:rPr>
          <w:rFonts w:hint="default" w:ascii="Times New Roman" w:hAnsi="Times New Roman" w:cs="Times New Roman"/>
          <w:b w:val="0"/>
          <w:bCs w:val="0"/>
          <w:color w:val="auto"/>
          <w:sz w:val="32"/>
          <w:szCs w:val="32"/>
          <w:u w:val="single" w:color="auto"/>
          <w:lang w:eastAsia="zh-CN"/>
        </w:rPr>
        <w:t>202</w:t>
      </w:r>
      <w:r>
        <w:rPr>
          <w:rFonts w:hint="default" w:ascii="Times New Roman" w:hAnsi="Times New Roman" w:cs="Times New Roman"/>
          <w:b w:val="0"/>
          <w:bCs w:val="0"/>
          <w:color w:val="auto"/>
          <w:sz w:val="32"/>
          <w:szCs w:val="32"/>
          <w:u w:val="single" w:color="auto"/>
          <w:lang w:val="en-US" w:eastAsia="zh-CN"/>
        </w:rPr>
        <w:t>5</w:t>
      </w:r>
      <w:r>
        <w:rPr>
          <w:rFonts w:hint="default" w:ascii="Times New Roman" w:hAnsi="Times New Roman" w:eastAsia="方正仿宋_GBK" w:cs="Times New Roman"/>
          <w:b w:val="0"/>
          <w:bCs w:val="0"/>
          <w:color w:val="auto"/>
          <w:sz w:val="32"/>
          <w:szCs w:val="32"/>
          <w:u w:val="single" w:color="auto"/>
        </w:rPr>
        <w:t>年</w:t>
      </w:r>
      <w:r>
        <w:rPr>
          <w:rFonts w:hint="eastAsia" w:ascii="Times New Roman" w:hAnsi="Times New Roman" w:cs="Times New Roman"/>
          <w:b w:val="0"/>
          <w:bCs w:val="0"/>
          <w:color w:val="auto"/>
          <w:sz w:val="32"/>
          <w:szCs w:val="32"/>
          <w:u w:val="single" w:color="auto"/>
          <w:lang w:val="en-US" w:eastAsia="zh-CN"/>
        </w:rPr>
        <w:t>8</w:t>
      </w:r>
      <w:r>
        <w:rPr>
          <w:rFonts w:hint="default" w:ascii="Times New Roman" w:hAnsi="Times New Roman" w:eastAsia="方正仿宋_GBK" w:cs="Times New Roman"/>
          <w:b w:val="0"/>
          <w:bCs w:val="0"/>
          <w:color w:val="auto"/>
          <w:sz w:val="32"/>
          <w:szCs w:val="32"/>
          <w:u w:val="single" w:color="auto"/>
        </w:rPr>
        <w:t xml:space="preserve">月 </w:t>
      </w:r>
      <w:r>
        <w:rPr>
          <w:rFonts w:hint="default" w:ascii="Times New Roman" w:hAnsi="Times New Roman" w:cs="Times New Roman"/>
          <w:b w:val="0"/>
          <w:bCs w:val="0"/>
          <w:color w:val="auto"/>
          <w:sz w:val="32"/>
          <w:szCs w:val="32"/>
          <w:u w:val="single" w:color="auto"/>
          <w:lang w:val="en-US" w:eastAsia="zh-CN"/>
        </w:rPr>
        <w:t xml:space="preserve"> </w:t>
      </w:r>
    </w:p>
    <w:p w14:paraId="0C92C7BB">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71F6A83A">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1E043F6E">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63527871">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1E05BEF4">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7B0CAC60">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6D972530">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4CF13E12">
      <w:pPr>
        <w:pStyle w:val="2"/>
        <w:rPr>
          <w:rFonts w:hint="default" w:ascii="Times New Roman" w:hAnsi="Times New Roman" w:cs="Times New Roman"/>
        </w:rPr>
      </w:pPr>
    </w:p>
    <w:p w14:paraId="22282706">
      <w:pPr>
        <w:spacing w:before="0" w:beforeLines="0" w:after="0" w:afterLines="0" w:line="240" w:lineRule="auto"/>
        <w:ind w:left="0" w:leftChars="0" w:right="0" w:rightChars="0" w:firstLine="0" w:firstLineChars="0"/>
        <w:jc w:val="both"/>
        <w:rPr>
          <w:rFonts w:hint="default" w:ascii="Times New Roman" w:hAnsi="Times New Roman" w:eastAsia="宋体" w:cs="Times New Roman"/>
          <w:kern w:val="2"/>
          <w:sz w:val="21"/>
          <w:szCs w:val="24"/>
          <w:lang w:val="en-US" w:eastAsia="zh-CN" w:bidi="ar-SA"/>
        </w:rPr>
      </w:pPr>
    </w:p>
    <w:sdt>
      <w:sdtPr>
        <w:rPr>
          <w:rFonts w:hint="default" w:ascii="Times New Roman" w:hAnsi="Times New Roman" w:eastAsia="宋体" w:cs="Times New Roman"/>
          <w:kern w:val="2"/>
          <w:sz w:val="21"/>
          <w:szCs w:val="24"/>
          <w:lang w:val="en-US" w:eastAsia="zh-CN" w:bidi="ar-SA"/>
        </w:rPr>
        <w:id w:val="147474925"/>
        <w15:color w:val="DBDBDB"/>
        <w:docPartObj>
          <w:docPartGallery w:val="Table of Contents"/>
          <w:docPartUnique/>
        </w:docPartObj>
      </w:sdtPr>
      <w:sdtEndPr>
        <w:rPr>
          <w:rFonts w:hint="default" w:ascii="Times New Roman" w:hAnsi="Times New Roman" w:eastAsia="宋体" w:cs="Times New Roman"/>
          <w:b/>
          <w:kern w:val="2"/>
          <w:sz w:val="21"/>
          <w:szCs w:val="24"/>
          <w:lang w:val="en-US" w:eastAsia="zh-CN" w:bidi="ar-SA"/>
        </w:rPr>
      </w:sdtEndPr>
      <w:sdtContent>
        <w:p w14:paraId="544FD059">
          <w:pPr>
            <w:spacing w:before="0" w:beforeLines="0" w:after="0" w:afterLines="0" w:line="240" w:lineRule="auto"/>
            <w:ind w:left="0" w:leftChars="0" w:right="0" w:rightChars="0" w:firstLine="0" w:firstLineChars="0"/>
            <w:jc w:val="center"/>
            <w:rPr>
              <w:rFonts w:hint="default" w:ascii="Times New Roman" w:hAnsi="Times New Roman" w:cs="Times New Roman"/>
              <w:sz w:val="44"/>
              <w:szCs w:val="44"/>
            </w:rPr>
          </w:pPr>
          <w:r>
            <w:rPr>
              <w:rFonts w:hint="default" w:ascii="Times New Roman" w:hAnsi="Times New Roman" w:eastAsia="宋体" w:cs="Times New Roman"/>
              <w:b/>
              <w:bCs/>
              <w:sz w:val="44"/>
              <w:szCs w:val="44"/>
            </w:rPr>
            <w:t>目录</w:t>
          </w:r>
        </w:p>
        <w:p w14:paraId="266BE2E5">
          <w:pPr>
            <w:pStyle w:val="24"/>
            <w:tabs>
              <w:tab w:val="right" w:leader="dot" w:pos="8306"/>
            </w:tabs>
            <w:rPr>
              <w:rFonts w:hint="default" w:ascii="Times New Roman" w:hAnsi="Times New Roman" w:cs="Times New Roman"/>
              <w:b/>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p>
        <w:p w14:paraId="17BE5DF4">
          <w:pPr>
            <w:pStyle w:val="24"/>
            <w:tabs>
              <w:tab w:val="right" w:leader="dot" w:pos="8306"/>
            </w:tabs>
            <w:rPr>
              <w:rFonts w:hint="default" w:ascii="Times New Roman" w:hAnsi="Times New Roman" w:cs="Times New Roman"/>
              <w:b/>
            </w:rPr>
          </w:pPr>
        </w:p>
        <w:p w14:paraId="679470CC">
          <w:pPr>
            <w:pStyle w:val="24"/>
            <w:tabs>
              <w:tab w:val="right" w:leader="dot" w:pos="8306"/>
            </w:tabs>
            <w:rPr>
              <w:rFonts w:hint="default" w:ascii="Times New Roman" w:hAnsi="Times New Roman" w:cs="Times New Roman"/>
              <w:b/>
            </w:rPr>
          </w:pPr>
        </w:p>
        <w:p w14:paraId="442742CB">
          <w:pPr>
            <w:pStyle w:val="24"/>
            <w:tabs>
              <w:tab w:val="right" w:leader="dot" w:pos="8306"/>
            </w:tabs>
            <w:rPr>
              <w:rFonts w:hint="default" w:ascii="Times New Roman" w:hAnsi="Times New Roman" w:cs="Times New Roman"/>
              <w:b/>
              <w:sz w:val="32"/>
              <w:szCs w:val="32"/>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_Toc1926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第一章 询价公告</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_Toc1926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3</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5614C809">
          <w:pPr>
            <w:pStyle w:val="24"/>
            <w:tabs>
              <w:tab w:val="right" w:leader="dot" w:pos="8306"/>
            </w:tabs>
            <w:rPr>
              <w:rFonts w:hint="default" w:ascii="Times New Roman" w:hAnsi="Times New Roman" w:cs="Times New Roman"/>
              <w:b/>
              <w:sz w:val="32"/>
              <w:szCs w:val="32"/>
            </w:rPr>
          </w:pPr>
        </w:p>
        <w:p w14:paraId="0BC0AD88">
          <w:pPr>
            <w:pStyle w:val="24"/>
            <w:tabs>
              <w:tab w:val="right" w:leader="dot" w:pos="8306"/>
            </w:tabs>
            <w:rPr>
              <w:rFonts w:hint="default" w:ascii="Times New Roman" w:hAnsi="Times New Roman" w:cs="Times New Roman"/>
              <w:b/>
              <w:sz w:val="32"/>
              <w:szCs w:val="32"/>
            </w:rPr>
          </w:pPr>
        </w:p>
        <w:p w14:paraId="224E6E95">
          <w:pPr>
            <w:pStyle w:val="24"/>
            <w:tabs>
              <w:tab w:val="right" w:leader="dot" w:pos="8306"/>
            </w:tabs>
            <w:rPr>
              <w:rFonts w:hint="default" w:ascii="Times New Roman" w:hAnsi="Times New Roman" w:cs="Times New Roman"/>
              <w:b/>
              <w:sz w:val="32"/>
              <w:szCs w:val="32"/>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_Toc23552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第二章 供应商须知</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_Toc23552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7</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7716FFBA">
          <w:pPr>
            <w:pStyle w:val="24"/>
            <w:tabs>
              <w:tab w:val="right" w:leader="dot" w:pos="8306"/>
            </w:tabs>
            <w:rPr>
              <w:rFonts w:hint="default" w:ascii="Times New Roman" w:hAnsi="Times New Roman" w:cs="Times New Roman"/>
              <w:b/>
              <w:sz w:val="32"/>
              <w:szCs w:val="32"/>
            </w:rPr>
          </w:pPr>
        </w:p>
        <w:p w14:paraId="695D1E9D">
          <w:pPr>
            <w:pStyle w:val="24"/>
            <w:tabs>
              <w:tab w:val="right" w:leader="dot" w:pos="8306"/>
            </w:tabs>
            <w:rPr>
              <w:rFonts w:hint="default" w:ascii="Times New Roman" w:hAnsi="Times New Roman" w:cs="Times New Roman"/>
              <w:b/>
              <w:sz w:val="32"/>
              <w:szCs w:val="32"/>
            </w:rPr>
          </w:pPr>
        </w:p>
        <w:p w14:paraId="19333246">
          <w:pPr>
            <w:pStyle w:val="24"/>
            <w:tabs>
              <w:tab w:val="right" w:leader="dot" w:pos="8306"/>
            </w:tabs>
            <w:rPr>
              <w:rFonts w:hint="default" w:ascii="Times New Roman" w:hAnsi="Times New Roman" w:cs="Times New Roman"/>
              <w:b/>
              <w:sz w:val="32"/>
              <w:szCs w:val="32"/>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_Toc27244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第三章 合同书样式及主要条款</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_Toc27244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20</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19FF564F">
          <w:pPr>
            <w:pStyle w:val="24"/>
            <w:tabs>
              <w:tab w:val="right" w:leader="dot" w:pos="8306"/>
            </w:tabs>
            <w:rPr>
              <w:rFonts w:hint="default" w:ascii="Times New Roman" w:hAnsi="Times New Roman" w:cs="Times New Roman"/>
              <w:b/>
              <w:sz w:val="32"/>
              <w:szCs w:val="32"/>
            </w:rPr>
          </w:pPr>
        </w:p>
        <w:p w14:paraId="5BEBE1BD">
          <w:pPr>
            <w:pStyle w:val="24"/>
            <w:tabs>
              <w:tab w:val="right" w:leader="dot" w:pos="8306"/>
            </w:tabs>
            <w:rPr>
              <w:rFonts w:hint="default" w:ascii="Times New Roman" w:hAnsi="Times New Roman" w:cs="Times New Roman"/>
              <w:b/>
              <w:sz w:val="32"/>
              <w:szCs w:val="32"/>
            </w:rPr>
          </w:pPr>
        </w:p>
        <w:p w14:paraId="67FEC8C7">
          <w:pPr>
            <w:pStyle w:val="24"/>
            <w:tabs>
              <w:tab w:val="right" w:leader="dot" w:pos="8306"/>
            </w:tabs>
            <w:rPr>
              <w:rFonts w:hint="default" w:ascii="Times New Roman" w:hAnsi="Times New Roman" w:cs="Times New Roman"/>
              <w:b/>
              <w:sz w:val="32"/>
              <w:szCs w:val="32"/>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_Toc2983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第四章 询价响应文件格式</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_Toc2983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28</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1DEE35BD">
          <w:pPr>
            <w:pStyle w:val="24"/>
            <w:tabs>
              <w:tab w:val="right" w:leader="dot" w:pos="8306"/>
            </w:tabs>
            <w:rPr>
              <w:rFonts w:hint="default" w:ascii="Times New Roman" w:hAnsi="Times New Roman" w:cs="Times New Roman"/>
              <w:b/>
              <w:sz w:val="32"/>
              <w:szCs w:val="32"/>
            </w:rPr>
          </w:pPr>
        </w:p>
        <w:p w14:paraId="46806F44">
          <w:pPr>
            <w:pStyle w:val="24"/>
            <w:tabs>
              <w:tab w:val="right" w:leader="dot" w:pos="8306"/>
            </w:tabs>
            <w:rPr>
              <w:rFonts w:hint="default" w:ascii="Times New Roman" w:hAnsi="Times New Roman" w:cs="Times New Roman"/>
              <w:b/>
              <w:sz w:val="32"/>
              <w:szCs w:val="32"/>
            </w:rPr>
          </w:pPr>
        </w:p>
        <w:p w14:paraId="019EF3C8">
          <w:pPr>
            <w:pStyle w:val="24"/>
            <w:tabs>
              <w:tab w:val="right" w:leader="dot" w:pos="8306"/>
            </w:tabs>
            <w:rPr>
              <w:rFonts w:hint="default" w:ascii="Times New Roman" w:hAnsi="Times New Roman" w:cs="Times New Roman"/>
              <w:b/>
              <w:sz w:val="32"/>
              <w:szCs w:val="32"/>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_Toc24466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第五章 采购需求</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_Toc24466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44</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2E46E712">
          <w:pPr>
            <w:pStyle w:val="24"/>
            <w:tabs>
              <w:tab w:val="right" w:leader="dot" w:pos="8306"/>
            </w:tabs>
            <w:rPr>
              <w:rFonts w:hint="default" w:ascii="Times New Roman" w:hAnsi="Times New Roman" w:cs="Times New Roman"/>
              <w:b/>
              <w:sz w:val="32"/>
              <w:szCs w:val="32"/>
            </w:rPr>
          </w:pPr>
        </w:p>
        <w:p w14:paraId="539A09A1">
          <w:pPr>
            <w:pStyle w:val="24"/>
            <w:tabs>
              <w:tab w:val="right" w:leader="dot" w:pos="8306"/>
            </w:tabs>
            <w:rPr>
              <w:rFonts w:hint="default" w:ascii="Times New Roman" w:hAnsi="Times New Roman" w:cs="Times New Roman"/>
              <w:b/>
              <w:sz w:val="32"/>
              <w:szCs w:val="32"/>
            </w:rPr>
          </w:pPr>
        </w:p>
        <w:p w14:paraId="11009137">
          <w:pPr>
            <w:pStyle w:val="24"/>
            <w:tabs>
              <w:tab w:val="right" w:leader="dot" w:pos="8306"/>
            </w:tabs>
            <w:rPr>
              <w:rFonts w:hint="default" w:ascii="Times New Roman" w:hAnsi="Times New Roman" w:cs="Times New Roman"/>
              <w:b/>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_Toc26863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第六章 评审办法</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_Toc26863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47</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06B75FEF">
          <w:pPr>
            <w:pStyle w:val="25"/>
            <w:tabs>
              <w:tab w:val="right" w:leader="dot" w:pos="8306"/>
            </w:tabs>
            <w:rPr>
              <w:rFonts w:hint="default" w:ascii="Times New Roman" w:hAnsi="Times New Roman" w:cs="Times New Roman"/>
            </w:rPr>
          </w:pPr>
        </w:p>
        <w:p w14:paraId="56ACB160">
          <w:pPr>
            <w:rPr>
              <w:rFonts w:hint="default" w:ascii="Times New Roman" w:hAnsi="Times New Roman" w:cs="Times New Roman"/>
              <w:b/>
            </w:rPr>
          </w:pPr>
          <w:r>
            <w:rPr>
              <w:rFonts w:hint="default" w:ascii="Times New Roman" w:hAnsi="Times New Roman" w:cs="Times New Roman"/>
              <w:b/>
            </w:rPr>
            <w:fldChar w:fldCharType="end"/>
          </w:r>
        </w:p>
      </w:sdtContent>
    </w:sdt>
    <w:p w14:paraId="053AAAE1">
      <w:pPr>
        <w:rPr>
          <w:rFonts w:hint="default" w:ascii="Times New Roman" w:hAnsi="Times New Roman" w:cs="Times New Roman"/>
          <w:b/>
        </w:rPr>
      </w:pPr>
    </w:p>
    <w:p w14:paraId="3080330D">
      <w:pPr>
        <w:rPr>
          <w:rFonts w:hint="default" w:ascii="Times New Roman" w:hAnsi="Times New Roman" w:cs="Times New Roman"/>
          <w:b/>
        </w:rPr>
      </w:pPr>
    </w:p>
    <w:p w14:paraId="598A4082">
      <w:pPr>
        <w:rPr>
          <w:rFonts w:hint="default" w:ascii="Times New Roman" w:hAnsi="Times New Roman" w:cs="Times New Roman"/>
          <w:b/>
        </w:rPr>
      </w:pPr>
    </w:p>
    <w:p w14:paraId="31F3AF90">
      <w:pPr>
        <w:rPr>
          <w:rFonts w:hint="default" w:ascii="Times New Roman" w:hAnsi="Times New Roman" w:cs="Times New Roman"/>
          <w:b/>
        </w:rPr>
      </w:pPr>
    </w:p>
    <w:p w14:paraId="3A776690">
      <w:pPr>
        <w:pStyle w:val="3"/>
        <w:pageBreakBefore w:val="0"/>
        <w:numPr>
          <w:ilvl w:val="0"/>
          <w:numId w:val="1"/>
        </w:numPr>
        <w:kinsoku/>
        <w:wordWrap/>
        <w:overflowPunct/>
        <w:topLinePunct w:val="0"/>
        <w:autoSpaceDE/>
        <w:autoSpaceDN/>
        <w:bidi w:val="0"/>
        <w:spacing w:beforeLines="0" w:afterLines="0" w:line="480" w:lineRule="exact"/>
        <w:textAlignment w:val="auto"/>
        <w:rPr>
          <w:rFonts w:hint="default" w:ascii="Times New Roman" w:hAnsi="Times New Roman" w:eastAsia="方正小标宋_GBK" w:cs="Times New Roman"/>
          <w:sz w:val="44"/>
          <w:szCs w:val="44"/>
          <w:lang w:val="en-US" w:eastAsia="zh-CN"/>
        </w:rPr>
      </w:pPr>
      <w:bookmarkStart w:id="0" w:name="_Toc1926"/>
      <w:r>
        <w:rPr>
          <w:rFonts w:hint="default" w:ascii="Times New Roman" w:hAnsi="Times New Roman" w:eastAsia="方正小标宋_GBK" w:cs="Times New Roman"/>
          <w:sz w:val="44"/>
          <w:szCs w:val="44"/>
          <w:lang w:val="en-US" w:eastAsia="zh-CN"/>
        </w:rPr>
        <w:t>询价公告</w:t>
      </w:r>
      <w:bookmarkEnd w:id="0"/>
    </w:p>
    <w:p w14:paraId="22FC296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项目概况</w:t>
      </w:r>
    </w:p>
    <w:p w14:paraId="1C427626">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大理州第二人民医院2025年药物基因检测试剂耗材采购项目（二次）</w:t>
      </w:r>
      <w:r>
        <w:rPr>
          <w:rFonts w:hint="default" w:ascii="Times New Roman" w:hAnsi="Times New Roman" w:eastAsia="方正仿宋_GBK" w:cs="Times New Roman"/>
          <w:b w:val="0"/>
          <w:bCs w:val="0"/>
          <w:color w:val="auto"/>
          <w:sz w:val="32"/>
          <w:szCs w:val="32"/>
          <w:u w:val="none" w:color="auto"/>
          <w:lang w:val="en-US" w:eastAsia="zh-CN"/>
        </w:rPr>
        <w:t>属于院内自行采购项目，按照医院内控相关要求，前期工作已准备就绪，具备采购条件。欢迎符合条件的供应商应在大理州第二人民医院官网（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t>
      </w:r>
      <w:r>
        <w:rPr>
          <w:rFonts w:hint="eastAsia" w:ascii="Times New Roman" w:hAnsi="Times New Roman" w:cs="Times New Roman"/>
          <w:b w:val="0"/>
          <w:bCs w:val="0"/>
          <w:color w:val="auto"/>
          <w:kern w:val="2"/>
          <w:sz w:val="32"/>
          <w:szCs w:val="32"/>
          <w:u w:val="none" w:color="auto"/>
          <w:lang w:val="en-US" w:eastAsia="zh-CN" w:bidi="ar-SA"/>
        </w:rPr>
        <w:t>s</w:t>
      </w:r>
      <w:r>
        <w:rPr>
          <w:rFonts w:hint="default" w:ascii="Times New Roman" w:hAnsi="Times New Roman" w:eastAsia="方正仿宋_GBK" w:cs="Times New Roman"/>
          <w:b w:val="0"/>
          <w:bCs w:val="0"/>
          <w:color w:val="auto"/>
          <w:kern w:val="2"/>
          <w:sz w:val="32"/>
          <w:szCs w:val="32"/>
          <w:u w:val="none" w:color="auto"/>
          <w:lang w:val="en-US" w:eastAsia="zh-CN" w:bidi="ar-SA"/>
        </w:rPr>
        <w:t>://www.dlzdermyy.com/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sz w:val="32"/>
          <w:szCs w:val="32"/>
          <w:u w:val="none" w:color="auto"/>
          <w:lang w:val="en-US" w:eastAsia="zh-CN"/>
        </w:rPr>
        <w:t>）获取采购文件，并于202</w:t>
      </w:r>
      <w:r>
        <w:rPr>
          <w:rFonts w:hint="default" w:ascii="Times New Roman" w:hAnsi="Times New Roman" w:cs="Times New Roman"/>
          <w:b w:val="0"/>
          <w:bCs w:val="0"/>
          <w:color w:val="auto"/>
          <w:sz w:val="32"/>
          <w:szCs w:val="32"/>
          <w:u w:val="none" w:color="auto"/>
          <w:lang w:val="en-US" w:eastAsia="zh-CN"/>
        </w:rPr>
        <w:t>5</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12</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14</w:t>
      </w:r>
      <w:r>
        <w:rPr>
          <w:rFonts w:hint="default" w:ascii="Times New Roman" w:hAnsi="Times New Roman" w:eastAsia="方正仿宋_GBK" w:cs="Times New Roman"/>
          <w:b w:val="0"/>
          <w:bCs w:val="0"/>
          <w:color w:val="auto"/>
          <w:sz w:val="32"/>
          <w:szCs w:val="32"/>
          <w:u w:val="none" w:color="auto"/>
          <w:lang w:val="en-US" w:eastAsia="zh-CN"/>
        </w:rPr>
        <w:t>:30 （北京时间）前提交询价响应文件。</w:t>
      </w:r>
    </w:p>
    <w:p w14:paraId="0E78B43A">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 w:name="_Toc2201"/>
      <w:r>
        <w:rPr>
          <w:rFonts w:hint="default" w:ascii="Times New Roman" w:hAnsi="Times New Roman" w:cs="Times New Roman"/>
          <w:lang w:val="en-US" w:eastAsia="zh-CN"/>
        </w:rPr>
        <w:t>一、项目基本情况</w:t>
      </w:r>
      <w:bookmarkEnd w:id="1"/>
    </w:p>
    <w:p w14:paraId="6A1D823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1.1 项目编号：</w:t>
      </w:r>
      <w:r>
        <w:rPr>
          <w:rFonts w:hint="eastAsia" w:ascii="Times New Roman" w:hAnsi="Times New Roman" w:cs="Times New Roman"/>
          <w:b w:val="0"/>
          <w:bCs w:val="0"/>
          <w:color w:val="auto"/>
          <w:sz w:val="32"/>
          <w:szCs w:val="32"/>
          <w:u w:val="none" w:color="auto"/>
          <w:lang w:val="en-US" w:eastAsia="zh-CN"/>
        </w:rPr>
        <w:t>DLZEYZCB-2025-05</w:t>
      </w:r>
    </w:p>
    <w:p w14:paraId="27865FD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hanging="2240" w:hangingChars="700"/>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1.2 项目名称：</w:t>
      </w:r>
      <w:r>
        <w:rPr>
          <w:rFonts w:hint="eastAsia" w:ascii="Times New Roman" w:hAnsi="Times New Roman" w:cs="Times New Roman"/>
          <w:b w:val="0"/>
          <w:bCs w:val="0"/>
          <w:color w:val="auto"/>
          <w:sz w:val="32"/>
          <w:szCs w:val="32"/>
          <w:u w:val="none" w:color="auto"/>
          <w:lang w:val="en-US" w:eastAsia="zh-CN"/>
        </w:rPr>
        <w:t>大理州第二人民医院2025年药物基因检测试剂耗材采购项目（二次）</w:t>
      </w:r>
    </w:p>
    <w:p w14:paraId="4CD39D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1.3 采购方式：询价（</w:t>
      </w:r>
      <w:r>
        <w:rPr>
          <w:rFonts w:hint="default" w:ascii="Times New Roman" w:hAnsi="Times New Roman" w:cs="Times New Roman"/>
          <w:b w:val="0"/>
          <w:bCs w:val="0"/>
          <w:color w:val="auto"/>
          <w:sz w:val="32"/>
          <w:szCs w:val="32"/>
          <w:u w:val="none" w:color="auto"/>
          <w:lang w:val="en-US" w:eastAsia="zh-CN"/>
        </w:rPr>
        <w:t>自行采购</w:t>
      </w:r>
      <w:r>
        <w:rPr>
          <w:rFonts w:hint="default" w:ascii="Times New Roman" w:hAnsi="Times New Roman" w:eastAsia="方正仿宋_GBK" w:cs="Times New Roman"/>
          <w:b w:val="0"/>
          <w:bCs w:val="0"/>
          <w:color w:val="auto"/>
          <w:sz w:val="32"/>
          <w:szCs w:val="32"/>
          <w:u w:val="none" w:color="auto"/>
          <w:lang w:val="en-US" w:eastAsia="zh-CN"/>
        </w:rPr>
        <w:t>）</w:t>
      </w:r>
    </w:p>
    <w:p w14:paraId="5E041F5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1.4 预算</w:t>
      </w:r>
      <w:r>
        <w:rPr>
          <w:rFonts w:hint="default" w:ascii="Times New Roman" w:hAnsi="Times New Roman" w:cs="Times New Roman"/>
          <w:b w:val="0"/>
          <w:bCs w:val="0"/>
          <w:color w:val="auto"/>
          <w:sz w:val="32"/>
          <w:szCs w:val="32"/>
          <w:u w:val="none" w:color="auto"/>
          <w:lang w:val="en-US" w:eastAsia="zh-CN"/>
        </w:rPr>
        <w:t>单价</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详见第五章采购需求</w:t>
      </w:r>
    </w:p>
    <w:p w14:paraId="7E8DE5C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1.5 最高限价</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不超过最高预算控制单价</w:t>
      </w:r>
    </w:p>
    <w:p w14:paraId="4D9FD7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6</w:t>
      </w:r>
      <w:r>
        <w:rPr>
          <w:rFonts w:hint="default" w:ascii="Times New Roman" w:hAnsi="Times New Roman" w:eastAsia="方正仿宋_GBK" w:cs="Times New Roman"/>
          <w:b w:val="0"/>
          <w:bCs w:val="0"/>
          <w:color w:val="auto"/>
          <w:sz w:val="32"/>
          <w:szCs w:val="32"/>
          <w:u w:val="none" w:color="auto"/>
          <w:lang w:val="en-US" w:eastAsia="zh-CN"/>
        </w:rPr>
        <w:t xml:space="preserve"> 资金来源：自筹资金</w:t>
      </w:r>
      <w:r>
        <w:rPr>
          <w:rFonts w:hint="default" w:ascii="Times New Roman" w:hAnsi="Times New Roman" w:cs="Times New Roman"/>
          <w:b w:val="0"/>
          <w:bCs w:val="0"/>
          <w:color w:val="auto"/>
          <w:sz w:val="32"/>
          <w:szCs w:val="32"/>
          <w:u w:val="none" w:color="auto"/>
          <w:lang w:val="en-US" w:eastAsia="zh-CN"/>
        </w:rPr>
        <w:t>，已落实</w:t>
      </w:r>
    </w:p>
    <w:p w14:paraId="6A94B36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 xml:space="preserve"> 采购需求：详见第五章采购需求</w:t>
      </w:r>
    </w:p>
    <w:p w14:paraId="58FFFC0F">
      <w:pPr>
        <w:spacing w:line="554" w:lineRule="exact"/>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服务</w:t>
      </w:r>
      <w:r>
        <w:rPr>
          <w:rFonts w:hint="eastAsia" w:ascii="Times New Roman" w:hAnsi="Times New Roman" w:cs="Times New Roman"/>
          <w:b w:val="0"/>
          <w:bCs w:val="0"/>
          <w:color w:val="auto"/>
          <w:sz w:val="32"/>
          <w:szCs w:val="32"/>
          <w:u w:val="none" w:color="auto"/>
          <w:lang w:val="en-US" w:eastAsia="zh-CN"/>
        </w:rPr>
        <w:t>期限</w:t>
      </w:r>
      <w:r>
        <w:rPr>
          <w:rFonts w:hint="default" w:ascii="Times New Roman" w:hAnsi="Times New Roman" w:eastAsia="方正仿宋_GBK" w:cs="Times New Roman"/>
          <w:b w:val="0"/>
          <w:bCs w:val="0"/>
          <w:color w:val="auto"/>
          <w:sz w:val="32"/>
          <w:szCs w:val="32"/>
          <w:u w:val="none" w:color="auto"/>
          <w:lang w:val="en-US" w:eastAsia="zh-CN"/>
        </w:rPr>
        <w:t>：两年，合同一年一签。在签订第二年合同前，双方须就供货单价重新进行协商谈判，且新签订的供货单价不得高于上一年度供货单价。若在合同履行期间出现上级政策调整（如集采政策发布等情况），则以最新上级政策规定为准，优先遵照执行。</w:t>
      </w:r>
    </w:p>
    <w:p w14:paraId="64A606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9</w:t>
      </w:r>
      <w:r>
        <w:rPr>
          <w:rFonts w:hint="default" w:ascii="Times New Roman" w:hAnsi="Times New Roman" w:eastAsia="方正仿宋_GBK" w:cs="Times New Roman"/>
          <w:b w:val="0"/>
          <w:bCs w:val="0"/>
          <w:color w:val="auto"/>
          <w:sz w:val="32"/>
          <w:szCs w:val="32"/>
          <w:u w:val="none" w:color="auto"/>
          <w:lang w:val="en-US" w:eastAsia="zh-CN"/>
        </w:rPr>
        <w:t xml:space="preserve"> 资格审查方式：资格后审</w:t>
      </w:r>
    </w:p>
    <w:p w14:paraId="7AE6A030">
      <w:pPr>
        <w:pStyle w:val="2"/>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10</w:t>
      </w:r>
      <w:r>
        <w:rPr>
          <w:rFonts w:hint="default" w:ascii="Times New Roman" w:hAnsi="Times New Roman" w:eastAsia="方正仿宋_GBK" w:cs="Times New Roman"/>
          <w:b w:val="0"/>
          <w:bCs w:val="0"/>
          <w:color w:val="auto"/>
          <w:sz w:val="32"/>
          <w:szCs w:val="32"/>
          <w:u w:val="none" w:color="auto"/>
          <w:lang w:val="en-US" w:eastAsia="zh-CN"/>
        </w:rPr>
        <w:t xml:space="preserve"> 本项目是否提交投标保证金：否</w:t>
      </w:r>
    </w:p>
    <w:p w14:paraId="3909B8A6">
      <w:pPr>
        <w:pStyle w:val="2"/>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1.1</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本项目是否允许转包或分包：否</w:t>
      </w:r>
    </w:p>
    <w:p w14:paraId="55847CE5">
      <w:pPr>
        <w:pStyle w:val="2"/>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1.1</w:t>
      </w:r>
      <w:r>
        <w:rPr>
          <w:rFonts w:hint="default" w:ascii="Times New Roman" w:hAnsi="Times New Roman" w:cs="Times New Roman"/>
          <w:b w:val="0"/>
          <w:bCs w:val="0"/>
          <w:color w:val="auto"/>
          <w:sz w:val="32"/>
          <w:szCs w:val="32"/>
          <w:u w:val="none" w:color="auto"/>
          <w:lang w:val="en-US" w:eastAsia="zh-CN"/>
        </w:rPr>
        <w:t>2</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供货</w:t>
      </w:r>
      <w:r>
        <w:rPr>
          <w:rFonts w:hint="default" w:ascii="Times New Roman" w:hAnsi="Times New Roman" w:eastAsia="方正仿宋_GBK" w:cs="Times New Roman"/>
          <w:b w:val="0"/>
          <w:bCs w:val="0"/>
          <w:color w:val="auto"/>
          <w:sz w:val="32"/>
          <w:szCs w:val="32"/>
          <w:u w:val="none" w:color="auto"/>
          <w:lang w:val="en-US" w:eastAsia="zh-CN"/>
        </w:rPr>
        <w:t>地点：大理州第二人民医院指定地点</w:t>
      </w:r>
    </w:p>
    <w:p w14:paraId="0DE768B6">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2" w:name="_Toc7642"/>
      <w:r>
        <w:rPr>
          <w:rFonts w:hint="default" w:ascii="Times New Roman" w:hAnsi="Times New Roman" w:cs="Times New Roman"/>
          <w:lang w:val="en-US" w:eastAsia="zh-CN"/>
        </w:rPr>
        <w:t>二、申请人的资格要求</w:t>
      </w:r>
      <w:bookmarkEnd w:id="2"/>
    </w:p>
    <w:p w14:paraId="6DD57D06">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2.1 具有独立承担民事责任的能力，持有工商行政管理部门核发的营业执照的法人或其他组织（提供营业执照扫描件）</w:t>
      </w:r>
      <w:r>
        <w:rPr>
          <w:rFonts w:hint="default" w:ascii="Times New Roman" w:hAnsi="Times New Roman" w:cs="Times New Roman"/>
          <w:b w:val="0"/>
          <w:bCs w:val="0"/>
          <w:color w:val="auto"/>
          <w:kern w:val="2"/>
          <w:sz w:val="32"/>
          <w:szCs w:val="32"/>
          <w:u w:val="none" w:color="auto"/>
          <w:lang w:val="en-US" w:eastAsia="zh-CN" w:bidi="ar-SA"/>
        </w:rPr>
        <w:t>；</w:t>
      </w:r>
    </w:p>
    <w:p w14:paraId="1F98161F">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供应商具有依法缴纳税收的良好记录（须提供缴税所属时间在202</w:t>
      </w:r>
      <w:r>
        <w:rPr>
          <w:rFonts w:hint="eastAsia"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年0</w:t>
      </w:r>
      <w:r>
        <w:rPr>
          <w:rFonts w:hint="eastAsia"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月至本项目报价文件提交截止时间前任意1个月的税务局税收通用缴款书或银行电子缴税（费）凭证或税务局出具纳税情况的相关证明，依法免税的，应提供依法免税的相关证明文件，新成立的企业（未满3个月）无须提供证明材料）；</w:t>
      </w:r>
    </w:p>
    <w:p w14:paraId="5A909E63">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.3供应商具有依法缴纳社会保障资金的良好记录（须提供缴费所属时间在202</w:t>
      </w:r>
      <w:r>
        <w:rPr>
          <w:rFonts w:hint="eastAsia"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年0</w:t>
      </w:r>
      <w:r>
        <w:rPr>
          <w:rFonts w:hint="eastAsia"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p>
    <w:p w14:paraId="6839615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 xml:space="preserve">2.4本项目的特定资格要求：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注：提供的证件均在有效期范围内。 </w:t>
      </w:r>
    </w:p>
    <w:p w14:paraId="43E93BEE">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信誉要求：提供投标人未被列入“信用中国”网站（www.creditchina.gov.cn）“失信被执行人、政府采购严重违法失信行为记录名单、重大税收违法失信主体”及中国政府采购网（www.ccgp.gov.cn）“政府采购严重违法失信行为信息记录”</w:t>
      </w:r>
      <w:r>
        <w:rPr>
          <w:rFonts w:hint="default" w:ascii="Times New Roman" w:hAnsi="Times New Roman" w:cs="Times New Roman"/>
          <w:b w:val="0"/>
          <w:bCs w:val="0"/>
          <w:color w:val="auto"/>
          <w:kern w:val="2"/>
          <w:sz w:val="32"/>
          <w:szCs w:val="32"/>
          <w:u w:val="none" w:color="auto"/>
          <w:lang w:val="en-US" w:eastAsia="zh-CN" w:bidi="ar-SA"/>
        </w:rPr>
        <w:t>；</w:t>
      </w:r>
    </w:p>
    <w:p w14:paraId="27FBC47E">
      <w:pPr>
        <w:pStyle w:val="9"/>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0" w:firstLine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6</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参加政府采购活动前三年内，在经营活动中没有重大违法记录书面声明</w:t>
      </w:r>
      <w:r>
        <w:rPr>
          <w:rFonts w:hint="default" w:ascii="Times New Roman" w:hAnsi="Times New Roman" w:cs="Times New Roman"/>
          <w:b w:val="0"/>
          <w:bCs w:val="0"/>
          <w:color w:val="auto"/>
          <w:kern w:val="2"/>
          <w:sz w:val="32"/>
          <w:szCs w:val="32"/>
          <w:u w:val="none" w:color="auto"/>
          <w:lang w:val="en-US" w:eastAsia="zh-CN" w:bidi="ar-SA"/>
        </w:rPr>
        <w:t>（格式自拟）；</w:t>
      </w:r>
    </w:p>
    <w:p w14:paraId="15455BAB">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单位负责人为同一人或者存在控股、管理关系的不同单位，不得同时参加同一合同项下的采购活动。提供“证明材料或书面声明函（格式自拟）；</w:t>
      </w:r>
    </w:p>
    <w:p w14:paraId="657F7AC9">
      <w:pPr>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8</w:t>
      </w:r>
      <w:r>
        <w:rPr>
          <w:rFonts w:hint="default" w:ascii="Times New Roman" w:hAnsi="Times New Roman" w:eastAsia="方正仿宋_GBK" w:cs="Times New Roman"/>
          <w:b w:val="0"/>
          <w:bCs w:val="0"/>
          <w:color w:val="auto"/>
          <w:kern w:val="2"/>
          <w:sz w:val="32"/>
          <w:szCs w:val="32"/>
          <w:u w:val="none" w:color="auto"/>
          <w:lang w:val="en-US" w:eastAsia="zh-CN" w:bidi="ar-SA"/>
        </w:rPr>
        <w:t>本项目</w:t>
      </w:r>
      <w:r>
        <w:rPr>
          <w:rFonts w:hint="default" w:ascii="Times New Roman" w:hAnsi="Times New Roman" w:cs="Times New Roman"/>
          <w:b w:val="0"/>
          <w:bCs w:val="0"/>
          <w:color w:val="auto"/>
          <w:kern w:val="2"/>
          <w:sz w:val="32"/>
          <w:szCs w:val="32"/>
          <w:u w:val="none" w:color="auto"/>
          <w:lang w:val="en-US" w:eastAsia="zh-CN" w:bidi="ar-SA"/>
        </w:rPr>
        <w:t>不接受联合体投标。</w:t>
      </w:r>
    </w:p>
    <w:p w14:paraId="68DB3ECB">
      <w:pPr>
        <w:pStyle w:val="4"/>
        <w:pageBreakBefore w:val="0"/>
        <w:numPr>
          <w:ilvl w:val="0"/>
          <w:numId w:val="2"/>
        </w:numPr>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3" w:name="_Toc9821"/>
      <w:r>
        <w:rPr>
          <w:rFonts w:hint="default" w:ascii="Times New Roman" w:hAnsi="Times New Roman" w:cs="Times New Roman"/>
          <w:lang w:val="en-US" w:eastAsia="zh-CN"/>
        </w:rPr>
        <w:t>采购文件获取</w:t>
      </w:r>
      <w:bookmarkEnd w:id="3"/>
    </w:p>
    <w:p w14:paraId="7E969E65">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t>
      </w:r>
      <w:r>
        <w:rPr>
          <w:rFonts w:hint="eastAsia" w:ascii="Times New Roman" w:hAnsi="Times New Roman" w:cs="Times New Roman"/>
          <w:b w:val="0"/>
          <w:bCs w:val="0"/>
          <w:color w:val="auto"/>
          <w:kern w:val="2"/>
          <w:sz w:val="32"/>
          <w:szCs w:val="32"/>
          <w:u w:val="none" w:color="auto"/>
          <w:lang w:val="en-US" w:eastAsia="zh-CN" w:bidi="ar-SA"/>
        </w:rPr>
        <w:t>s</w:t>
      </w:r>
      <w:r>
        <w:rPr>
          <w:rFonts w:hint="default" w:ascii="Times New Roman" w:hAnsi="Times New Roman" w:eastAsia="方正仿宋_GBK" w:cs="Times New Roman"/>
          <w:b w:val="0"/>
          <w:bCs w:val="0"/>
          <w:color w:val="auto"/>
          <w:kern w:val="2"/>
          <w:sz w:val="32"/>
          <w:szCs w:val="32"/>
          <w:u w:val="none" w:color="auto"/>
          <w:lang w:val="en-US" w:eastAsia="zh-CN" w:bidi="ar-SA"/>
        </w:rPr>
        <w:t>://www.dlzdermyy.com/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）免费下载。</w:t>
      </w:r>
    </w:p>
    <w:p w14:paraId="36173EE3">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4" w:name="_Toc16114"/>
      <w:r>
        <w:rPr>
          <w:rFonts w:hint="default" w:ascii="Times New Roman" w:hAnsi="Times New Roman" w:cs="Times New Roman"/>
          <w:lang w:val="en-US" w:eastAsia="zh-CN"/>
        </w:rPr>
        <w:t>四、报名时间、方式及注意事项</w:t>
      </w:r>
      <w:bookmarkEnd w:id="4"/>
    </w:p>
    <w:p w14:paraId="3843FED1">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4.1 报名时间：公告发布之日起（</w:t>
      </w:r>
      <w:r>
        <w:rPr>
          <w:rFonts w:hint="default" w:ascii="Times New Roman" w:hAnsi="Times New Roman" w:cs="Times New Roman"/>
          <w:b w:val="0"/>
          <w:bCs w:val="0"/>
          <w:color w:val="auto"/>
          <w:kern w:val="2"/>
          <w:sz w:val="32"/>
          <w:szCs w:val="32"/>
          <w:u w:val="none" w:color="auto"/>
          <w:lang w:val="en-US" w:eastAsia="zh-CN" w:bidi="ar-SA"/>
        </w:rPr>
        <w:t>2025</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none" w:color="auto"/>
          <w:lang w:val="en-US" w:eastAsia="zh-CN" w:bidi="ar-SA"/>
        </w:rPr>
        <w:t>8</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日）至</w:t>
      </w:r>
      <w:r>
        <w:rPr>
          <w:rFonts w:hint="default" w:ascii="Times New Roman" w:hAnsi="Times New Roman" w:cs="Times New Roman"/>
          <w:b w:val="0"/>
          <w:bCs w:val="0"/>
          <w:color w:val="auto"/>
          <w:kern w:val="2"/>
          <w:sz w:val="32"/>
          <w:szCs w:val="32"/>
          <w:u w:val="single" w:color="auto"/>
          <w:lang w:val="en-US" w:eastAsia="zh-CN" w:bidi="ar-SA"/>
        </w:rPr>
        <w:t>2025</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8</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single" w:color="auto"/>
          <w:lang w:val="en-US" w:eastAsia="zh-CN" w:bidi="ar-SA"/>
        </w:rPr>
        <w:t>6</w:t>
      </w:r>
      <w:r>
        <w:rPr>
          <w:rFonts w:hint="default" w:ascii="Times New Roman" w:hAnsi="Times New Roman" w:eastAsia="方正仿宋_GBK" w:cs="Times New Roman"/>
          <w:b w:val="0"/>
          <w:bCs w:val="0"/>
          <w:color w:val="auto"/>
          <w:kern w:val="2"/>
          <w:sz w:val="32"/>
          <w:szCs w:val="32"/>
          <w:u w:val="none" w:color="auto"/>
          <w:lang w:val="en-US" w:eastAsia="zh-CN" w:bidi="ar-SA"/>
        </w:rPr>
        <w:t>日</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cs="Times New Roman"/>
          <w:b w:val="0"/>
          <w:bCs w:val="0"/>
          <w:color w:val="auto"/>
          <w:kern w:val="2"/>
          <w:sz w:val="32"/>
          <w:szCs w:val="32"/>
          <w:u w:val="single" w:color="auto"/>
          <w:lang w:val="en-US" w:eastAsia="zh-CN" w:bidi="ar-SA"/>
        </w:rPr>
        <w:t>17</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 xml:space="preserve"> 30 </w:t>
      </w:r>
      <w:r>
        <w:rPr>
          <w:rFonts w:hint="default" w:ascii="Times New Roman" w:hAnsi="Times New Roman" w:eastAsia="方正仿宋_GBK" w:cs="Times New Roman"/>
          <w:b w:val="0"/>
          <w:bCs w:val="0"/>
          <w:color w:val="auto"/>
          <w:kern w:val="2"/>
          <w:sz w:val="32"/>
          <w:szCs w:val="32"/>
          <w:u w:val="none" w:color="auto"/>
          <w:lang w:val="en-US" w:eastAsia="zh-CN" w:bidi="ar-SA"/>
        </w:rPr>
        <w:t>分前均可报名。</w:t>
      </w:r>
    </w:p>
    <w:p w14:paraId="36096765">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4.2 报名方式：</w:t>
      </w:r>
      <w:bookmarkStart w:id="5" w:name="OLE_LINK1"/>
      <w:r>
        <w:rPr>
          <w:rFonts w:hint="default" w:ascii="Times New Roman" w:hAnsi="Times New Roman" w:eastAsia="方正仿宋_GBK" w:cs="Times New Roman"/>
          <w:b w:val="0"/>
          <w:bCs w:val="0"/>
          <w:color w:val="auto"/>
          <w:kern w:val="2"/>
          <w:sz w:val="32"/>
          <w:szCs w:val="32"/>
          <w:u w:val="none" w:color="auto"/>
          <w:lang w:val="en-US" w:eastAsia="zh-CN" w:bidi="ar-SA"/>
        </w:rPr>
        <w:t>在规定时间内按要求填写报名表加盖公章并扫描成PDF格式发送至指定邮箱：zcb2125928@126.com（见</w:t>
      </w:r>
      <w:r>
        <w:rPr>
          <w:rFonts w:hint="default" w:ascii="Times New Roman" w:hAnsi="Times New Roman" w:cs="Times New Roman"/>
          <w:b w:val="0"/>
          <w:bCs w:val="0"/>
          <w:color w:val="auto"/>
          <w:kern w:val="2"/>
          <w:sz w:val="32"/>
          <w:szCs w:val="32"/>
          <w:u w:val="none" w:color="auto"/>
          <w:lang w:val="en-US" w:eastAsia="zh-CN" w:bidi="ar-SA"/>
        </w:rPr>
        <w:t>采购文件最后一页</w:t>
      </w:r>
      <w:r>
        <w:rPr>
          <w:rFonts w:hint="default" w:ascii="Times New Roman" w:hAnsi="Times New Roman" w:eastAsia="方正仿宋_GBK" w:cs="Times New Roman"/>
          <w:b w:val="0"/>
          <w:bCs w:val="0"/>
          <w:color w:val="auto"/>
          <w:kern w:val="2"/>
          <w:sz w:val="32"/>
          <w:szCs w:val="32"/>
          <w:u w:val="none" w:color="auto"/>
          <w:lang w:val="en-US" w:eastAsia="zh-CN" w:bidi="ar-SA"/>
        </w:rPr>
        <w:t>附件：</w:t>
      </w:r>
      <w:r>
        <w:rPr>
          <w:rFonts w:hint="eastAsia" w:ascii="Times New Roman" w:hAnsi="Times New Roman" w:cs="Times New Roman"/>
          <w:b w:val="0"/>
          <w:bCs w:val="0"/>
          <w:color w:val="auto"/>
          <w:sz w:val="32"/>
          <w:szCs w:val="32"/>
          <w:u w:val="none" w:color="auto"/>
          <w:lang w:val="en-US" w:eastAsia="zh-CN"/>
        </w:rPr>
        <w:t>大理州第二人民医院2025年药物基因检测试剂耗材采购项目（二次）</w:t>
      </w:r>
      <w:r>
        <w:rPr>
          <w:rFonts w:hint="default" w:ascii="Times New Roman" w:hAnsi="Times New Roman" w:eastAsia="方正仿宋_GBK" w:cs="Times New Roman"/>
          <w:b w:val="0"/>
          <w:bCs w:val="0"/>
          <w:color w:val="auto"/>
          <w:kern w:val="2"/>
          <w:sz w:val="32"/>
          <w:szCs w:val="32"/>
          <w:u w:val="none" w:color="auto"/>
          <w:lang w:val="en-US" w:eastAsia="zh-CN" w:bidi="ar-SA"/>
        </w:rPr>
        <w:t>供应商报名表），报名时间以收到供应商邮件具体时间为准，报名时间截止后提交的报名材料视为无效。</w:t>
      </w:r>
    </w:p>
    <w:bookmarkEnd w:id="5"/>
    <w:p w14:paraId="77C55469">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4.3 注意事项：不接受现场报名，未按规定时间提交报名材料的供应商（生产厂家）不得参与该项目采购活动。</w:t>
      </w:r>
    </w:p>
    <w:p w14:paraId="3050F6CA">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 w:name="_Toc530930084"/>
      <w:bookmarkStart w:id="7" w:name="_Toc531034890"/>
      <w:bookmarkStart w:id="8" w:name="_Toc4142306"/>
      <w:bookmarkStart w:id="9" w:name="_Toc530932165"/>
      <w:bookmarkStart w:id="10" w:name="_Toc530931366"/>
      <w:bookmarkStart w:id="11" w:name="_Toc32264"/>
      <w:r>
        <w:rPr>
          <w:rFonts w:hint="default" w:ascii="Times New Roman" w:hAnsi="Times New Roman" w:cs="Times New Roman"/>
          <w:lang w:val="en-US" w:eastAsia="zh-CN"/>
        </w:rPr>
        <w:t>五、</w:t>
      </w:r>
      <w:bookmarkEnd w:id="6"/>
      <w:bookmarkEnd w:id="7"/>
      <w:bookmarkEnd w:id="8"/>
      <w:bookmarkEnd w:id="9"/>
      <w:bookmarkEnd w:id="10"/>
      <w:r>
        <w:rPr>
          <w:rFonts w:hint="default" w:ascii="Times New Roman" w:hAnsi="Times New Roman" w:cs="Times New Roman"/>
          <w:lang w:val="en-US" w:eastAsia="zh-CN"/>
        </w:rPr>
        <w:t>提交询价响应文件截止时间、开标时间和地点</w:t>
      </w:r>
      <w:bookmarkEnd w:id="11"/>
    </w:p>
    <w:p w14:paraId="54729195">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5.1提交询价响应文件截止时间、开标时间：</w:t>
      </w:r>
      <w:r>
        <w:rPr>
          <w:rFonts w:hint="default" w:ascii="Times New Roman" w:hAnsi="Times New Roman" w:cs="Times New Roman"/>
          <w:b w:val="0"/>
          <w:bCs w:val="0"/>
          <w:color w:val="auto"/>
          <w:kern w:val="2"/>
          <w:sz w:val="32"/>
          <w:szCs w:val="32"/>
          <w:u w:val="single" w:color="auto"/>
          <w:lang w:val="en-US" w:eastAsia="zh-CN" w:bidi="ar-SA"/>
        </w:rPr>
        <w:t>2025</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single" w:color="auto"/>
          <w:lang w:val="en-US" w:eastAsia="zh-CN" w:bidi="ar-SA"/>
        </w:rPr>
        <w:t>8</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single" w:color="auto"/>
          <w:lang w:val="en-US" w:eastAsia="zh-CN" w:bidi="ar-SA"/>
        </w:rPr>
        <w:t>12</w:t>
      </w:r>
      <w:r>
        <w:rPr>
          <w:rFonts w:hint="default" w:ascii="Times New Roman" w:hAnsi="Times New Roman" w:eastAsia="方正仿宋_GBK" w:cs="Times New Roman"/>
          <w:b w:val="0"/>
          <w:bCs w:val="0"/>
          <w:color w:val="auto"/>
          <w:kern w:val="2"/>
          <w:sz w:val="32"/>
          <w:szCs w:val="32"/>
          <w:u w:val="none" w:color="auto"/>
          <w:lang w:val="en-US" w:eastAsia="zh-CN" w:bidi="ar-SA"/>
        </w:rPr>
        <w:t>日下午</w:t>
      </w:r>
      <w:r>
        <w:rPr>
          <w:rFonts w:hint="default" w:ascii="Times New Roman" w:hAnsi="Times New Roman" w:cs="Times New Roman"/>
          <w:b w:val="0"/>
          <w:bCs w:val="0"/>
          <w:color w:val="auto"/>
          <w:kern w:val="2"/>
          <w:sz w:val="32"/>
          <w:szCs w:val="32"/>
          <w:u w:val="single" w:color="auto"/>
          <w:lang w:val="en-US" w:eastAsia="zh-CN" w:bidi="ar-SA"/>
        </w:rPr>
        <w:t>14</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30</w:t>
      </w:r>
      <w:r>
        <w:rPr>
          <w:rFonts w:hint="default" w:ascii="Times New Roman" w:hAnsi="Times New Roman" w:eastAsia="方正仿宋_GBK" w:cs="Times New Roman"/>
          <w:b w:val="0"/>
          <w:bCs w:val="0"/>
          <w:color w:val="auto"/>
          <w:kern w:val="2"/>
          <w:sz w:val="32"/>
          <w:szCs w:val="32"/>
          <w:u w:val="none" w:color="auto"/>
          <w:lang w:val="en-US" w:eastAsia="zh-CN" w:bidi="ar-SA"/>
        </w:rPr>
        <w:t>分（北京时间）；</w:t>
      </w:r>
    </w:p>
    <w:p w14:paraId="00C6C36D">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5.2 提交询价响应文件地点、开标地点：大理市满江街道红山路与太和路交汇处（大理州第二人民医院行政后勤楼五楼一号会议室）。</w:t>
      </w:r>
    </w:p>
    <w:p w14:paraId="27444D66">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2" w:name="_Toc2227"/>
      <w:r>
        <w:rPr>
          <w:rFonts w:hint="default" w:ascii="Times New Roman" w:hAnsi="Times New Roman" w:cs="Times New Roman"/>
          <w:lang w:val="en-US" w:eastAsia="zh-CN"/>
        </w:rPr>
        <w:t>六、采购信息发布媒介</w:t>
      </w:r>
      <w:bookmarkEnd w:id="12"/>
    </w:p>
    <w:p w14:paraId="0499CFD1">
      <w:pPr>
        <w:pStyle w:val="14"/>
        <w:keepNext w:val="0"/>
        <w:keepLines w:val="0"/>
        <w:pageBreakBefore w:val="0"/>
        <w:kinsoku/>
        <w:wordWrap/>
        <w:overflowPunct/>
        <w:topLinePunct w:val="0"/>
        <w:autoSpaceDE/>
        <w:autoSpaceDN/>
        <w:bidi w:val="0"/>
        <w:spacing w:before="0" w:beforeAutospacing="0" w:after="0" w:afterAutospacing="0" w:line="480" w:lineRule="exact"/>
        <w:ind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13" w:name="OLE_LINK5"/>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t>
      </w:r>
      <w:r>
        <w:rPr>
          <w:rFonts w:hint="eastAsia" w:ascii="Times New Roman" w:hAnsi="Times New Roman" w:cs="Times New Roman"/>
          <w:b w:val="0"/>
          <w:bCs w:val="0"/>
          <w:color w:val="auto"/>
          <w:kern w:val="2"/>
          <w:sz w:val="32"/>
          <w:szCs w:val="32"/>
          <w:u w:val="none" w:color="auto"/>
          <w:lang w:val="en-US" w:eastAsia="zh-CN" w:bidi="ar-SA"/>
        </w:rPr>
        <w:t>s</w:t>
      </w:r>
      <w:r>
        <w:rPr>
          <w:rFonts w:hint="default" w:ascii="Times New Roman" w:hAnsi="Times New Roman" w:eastAsia="方正仿宋_GBK" w:cs="Times New Roman"/>
          <w:b w:val="0"/>
          <w:bCs w:val="0"/>
          <w:color w:val="auto"/>
          <w:kern w:val="2"/>
          <w:sz w:val="32"/>
          <w:szCs w:val="32"/>
          <w:u w:val="none" w:color="auto"/>
          <w:lang w:val="en-US" w:eastAsia="zh-CN" w:bidi="ar-SA"/>
        </w:rPr>
        <w:t>://www.dlzdermyy.com/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w:t>
      </w:r>
      <w:bookmarkEnd w:id="13"/>
      <w:r>
        <w:rPr>
          <w:rFonts w:hint="default" w:ascii="Times New Roman" w:hAnsi="Times New Roman" w:cs="Times New Roman"/>
          <w:b w:val="0"/>
          <w:bCs w:val="0"/>
          <w:color w:val="auto"/>
          <w:kern w:val="2"/>
          <w:sz w:val="32"/>
          <w:szCs w:val="32"/>
          <w:u w:val="none" w:color="auto"/>
          <w:lang w:val="en-US" w:eastAsia="zh-CN" w:bidi="ar-SA"/>
        </w:rPr>
        <w:t>及中国招标投标公共服务平台</w:t>
      </w:r>
      <w:r>
        <w:rPr>
          <w:rFonts w:hint="default" w:ascii="Times New Roman" w:hAnsi="Times New Roman" w:eastAsia="方正仿宋_GBK" w:cs="Times New Roman"/>
          <w:b w:val="0"/>
          <w:bCs w:val="0"/>
          <w:color w:val="auto"/>
          <w:kern w:val="2"/>
          <w:sz w:val="32"/>
          <w:szCs w:val="32"/>
          <w:u w:val="none" w:color="auto"/>
          <w:lang w:val="en-US" w:eastAsia="zh-CN" w:bidi="ar-SA"/>
        </w:rPr>
        <w:t>。</w:t>
      </w:r>
    </w:p>
    <w:p w14:paraId="7A42A4A9">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4" w:name="_Toc10647"/>
      <w:r>
        <w:rPr>
          <w:rFonts w:hint="default" w:ascii="Times New Roman" w:hAnsi="Times New Roman" w:cs="Times New Roman"/>
          <w:lang w:val="en-US" w:eastAsia="zh-CN"/>
        </w:rPr>
        <w:t>七、公告期限</w:t>
      </w:r>
      <w:bookmarkEnd w:id="14"/>
    </w:p>
    <w:p w14:paraId="09F1E2E9">
      <w:pPr>
        <w:pStyle w:val="14"/>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自本公告发布之日起3个工作日。</w:t>
      </w:r>
    </w:p>
    <w:p w14:paraId="40A59C95">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5" w:name="_Toc31278"/>
      <w:r>
        <w:rPr>
          <w:rFonts w:hint="default" w:ascii="Times New Roman" w:hAnsi="Times New Roman" w:cs="Times New Roman"/>
          <w:lang w:val="en-US" w:eastAsia="zh-CN"/>
        </w:rPr>
        <w:t>八、收费标准</w:t>
      </w:r>
      <w:bookmarkEnd w:id="15"/>
    </w:p>
    <w:p w14:paraId="7BC75C0A">
      <w:pPr>
        <w:pStyle w:val="14"/>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大理州第二人民医院对报名费、询价采购文件、中标服务费均不收取。</w:t>
      </w:r>
    </w:p>
    <w:p w14:paraId="3C778499">
      <w:pPr>
        <w:pStyle w:val="4"/>
        <w:pageBreakBefore w:val="0"/>
        <w:numPr>
          <w:ilvl w:val="0"/>
          <w:numId w:val="3"/>
        </w:numPr>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6" w:name="_Toc19667"/>
      <w:r>
        <w:rPr>
          <w:rFonts w:hint="default" w:ascii="Times New Roman" w:hAnsi="Times New Roman" w:cs="Times New Roman"/>
          <w:lang w:val="en-US" w:eastAsia="zh-CN"/>
        </w:rPr>
        <w:t>其他补充事宜</w:t>
      </w:r>
      <w:bookmarkEnd w:id="16"/>
    </w:p>
    <w:p w14:paraId="53768FF0">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9.1本项目为据实结算，投标人根据第</w:t>
      </w:r>
      <w:r>
        <w:rPr>
          <w:rFonts w:hint="default" w:ascii="Times New Roman" w:hAnsi="Times New Roman" w:cs="Times New Roman"/>
          <w:b w:val="0"/>
          <w:bCs w:val="0"/>
          <w:color w:val="auto"/>
          <w:kern w:val="2"/>
          <w:sz w:val="32"/>
          <w:szCs w:val="32"/>
          <w:u w:val="none" w:color="auto"/>
          <w:lang w:val="en-US" w:eastAsia="zh-CN" w:bidi="ar-SA"/>
        </w:rPr>
        <w:t>五</w:t>
      </w:r>
      <w:r>
        <w:rPr>
          <w:rFonts w:hint="default" w:ascii="Times New Roman" w:hAnsi="Times New Roman" w:eastAsia="方正仿宋_GBK" w:cs="Times New Roman"/>
          <w:b w:val="0"/>
          <w:bCs w:val="0"/>
          <w:color w:val="auto"/>
          <w:kern w:val="2"/>
          <w:sz w:val="32"/>
          <w:szCs w:val="32"/>
          <w:u w:val="none" w:color="auto"/>
          <w:lang w:val="en-US" w:eastAsia="zh-CN" w:bidi="ar-SA"/>
        </w:rPr>
        <w:t>章采购需求统一填报下浮率。</w:t>
      </w:r>
    </w:p>
    <w:p w14:paraId="60E63417">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其他未尽事宜详见询价采购文件。</w:t>
      </w:r>
    </w:p>
    <w:p w14:paraId="051860C7">
      <w:pPr>
        <w:pStyle w:val="4"/>
        <w:pageBreakBefore w:val="0"/>
        <w:kinsoku/>
        <w:wordWrap/>
        <w:overflowPunct/>
        <w:topLinePunct w:val="0"/>
        <w:autoSpaceDE/>
        <w:autoSpaceDN/>
        <w:bidi w:val="0"/>
        <w:spacing w:line="480" w:lineRule="exact"/>
        <w:textAlignment w:val="auto"/>
        <w:rPr>
          <w:rFonts w:hint="default" w:ascii="Times New Roman" w:hAnsi="Times New Roman" w:eastAsia="方正仿宋_GBK" w:cs="Times New Roman"/>
          <w:szCs w:val="32"/>
          <w:lang w:val="en-US" w:eastAsia="zh-CN"/>
        </w:rPr>
      </w:pPr>
      <w:bookmarkStart w:id="17" w:name="_Toc11542"/>
      <w:r>
        <w:rPr>
          <w:rFonts w:hint="default" w:ascii="Times New Roman" w:hAnsi="Times New Roman" w:cs="Times New Roman"/>
          <w:lang w:val="en-US" w:eastAsia="zh-CN"/>
        </w:rPr>
        <w:t>十、对本次采购提出询问请按以下方式联系</w:t>
      </w:r>
      <w:bookmarkEnd w:id="17"/>
    </w:p>
    <w:p w14:paraId="5373AF91">
      <w:pPr>
        <w:pStyle w:val="2"/>
        <w:keepNext w:val="0"/>
        <w:keepLines w:val="0"/>
        <w:pageBreakBefore w:val="0"/>
        <w:numPr>
          <w:ilvl w:val="0"/>
          <w:numId w:val="0"/>
        </w:numPr>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采购人</w:t>
      </w:r>
      <w:r>
        <w:rPr>
          <w:rFonts w:hint="default" w:ascii="Times New Roman" w:hAnsi="Times New Roman" w:eastAsia="方正仿宋_GBK" w:cs="Times New Roman"/>
          <w:b w:val="0"/>
          <w:bCs w:val="0"/>
          <w:color w:val="auto"/>
          <w:kern w:val="2"/>
          <w:sz w:val="32"/>
          <w:szCs w:val="32"/>
          <w:u w:val="none" w:color="auto"/>
          <w:lang w:val="en-US" w:eastAsia="zh-CN" w:bidi="ar-SA"/>
        </w:rPr>
        <w:t>：大理</w:t>
      </w:r>
      <w:r>
        <w:rPr>
          <w:rFonts w:hint="default" w:ascii="Times New Roman" w:hAnsi="Times New Roman" w:cs="Times New Roman"/>
          <w:b w:val="0"/>
          <w:bCs w:val="0"/>
          <w:color w:val="auto"/>
          <w:kern w:val="2"/>
          <w:sz w:val="32"/>
          <w:szCs w:val="32"/>
          <w:u w:val="none" w:color="auto"/>
          <w:lang w:val="en-US" w:eastAsia="zh-CN" w:bidi="ar-SA"/>
        </w:rPr>
        <w:t>白族自治州第二人民医院</w:t>
      </w:r>
    </w:p>
    <w:p w14:paraId="14CD2920">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14:paraId="12BD3C25">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联系人：杨先生</w:t>
      </w:r>
    </w:p>
    <w:p w14:paraId="4E91912F">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联系电话：0872-2125928</w:t>
      </w:r>
    </w:p>
    <w:p w14:paraId="5A1BCCBE">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8" w:name="_Toc21354"/>
      <w:r>
        <w:rPr>
          <w:rFonts w:hint="default" w:ascii="Times New Roman" w:hAnsi="Times New Roman" w:cs="Times New Roman"/>
          <w:lang w:val="en-US" w:eastAsia="zh-CN"/>
        </w:rPr>
        <w:t>十一、监督机构信息</w:t>
      </w:r>
      <w:bookmarkEnd w:id="18"/>
    </w:p>
    <w:p w14:paraId="64CE152F">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名称：大理州第二人民医院</w:t>
      </w:r>
      <w:r>
        <w:rPr>
          <w:rFonts w:hint="default" w:ascii="Times New Roman" w:hAnsi="Times New Roman" w:cs="Times New Roman"/>
          <w:b w:val="0"/>
          <w:bCs w:val="0"/>
          <w:color w:val="auto"/>
          <w:kern w:val="2"/>
          <w:sz w:val="32"/>
          <w:szCs w:val="32"/>
          <w:u w:val="none" w:color="auto"/>
          <w:lang w:val="en-US" w:eastAsia="zh-CN" w:bidi="ar-SA"/>
        </w:rPr>
        <w:t>纪委办公室</w:t>
      </w:r>
    </w:p>
    <w:p w14:paraId="5F35E7F5">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14:paraId="7B1D05FC">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监督电话：0872-21</w:t>
      </w:r>
      <w:r>
        <w:rPr>
          <w:rFonts w:hint="eastAsia" w:ascii="Times New Roman" w:hAnsi="Times New Roman" w:cs="Times New Roman"/>
          <w:b w:val="0"/>
          <w:bCs w:val="0"/>
          <w:color w:val="auto"/>
          <w:kern w:val="2"/>
          <w:sz w:val="32"/>
          <w:szCs w:val="32"/>
          <w:u w:val="none" w:color="auto"/>
          <w:lang w:val="en-US" w:eastAsia="zh-CN" w:bidi="ar-SA"/>
        </w:rPr>
        <w:t>25752</w:t>
      </w:r>
    </w:p>
    <w:p w14:paraId="1B666690">
      <w:pPr>
        <w:rPr>
          <w:rFonts w:hint="default" w:ascii="Times New Roman" w:hAnsi="Times New Roman" w:eastAsia="方正仿宋_GBK" w:cs="Times New Roman"/>
          <w:b w:val="0"/>
          <w:bCs w:val="0"/>
          <w:color w:val="auto"/>
          <w:kern w:val="2"/>
          <w:sz w:val="32"/>
          <w:szCs w:val="32"/>
          <w:u w:val="none" w:color="auto"/>
          <w:lang w:val="en-US" w:eastAsia="zh-CN" w:bidi="ar-SA"/>
        </w:rPr>
      </w:pPr>
    </w:p>
    <w:p w14:paraId="4C31B5AB">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14:paraId="776399AA">
      <w:pPr>
        <w:rPr>
          <w:rFonts w:hint="default" w:ascii="Times New Roman" w:hAnsi="Times New Roman" w:cs="Times New Roman"/>
          <w:lang w:val="en-US" w:eastAsia="zh-CN"/>
        </w:rPr>
      </w:pPr>
    </w:p>
    <w:p w14:paraId="20134988">
      <w:pPr>
        <w:pStyle w:val="2"/>
        <w:rPr>
          <w:rFonts w:hint="default" w:ascii="Times New Roman" w:hAnsi="Times New Roman" w:cs="Times New Roman"/>
          <w:lang w:val="en-US" w:eastAsia="zh-CN"/>
        </w:rPr>
      </w:pPr>
    </w:p>
    <w:p w14:paraId="233229A2">
      <w:pPr>
        <w:rPr>
          <w:rFonts w:hint="default" w:ascii="Times New Roman" w:hAnsi="Times New Roman" w:cs="Times New Roman"/>
          <w:lang w:val="en-US" w:eastAsia="zh-CN"/>
        </w:rPr>
      </w:pPr>
    </w:p>
    <w:p w14:paraId="6F3D5A30">
      <w:pPr>
        <w:pStyle w:val="3"/>
        <w:numPr>
          <w:ilvl w:val="0"/>
          <w:numId w:val="1"/>
        </w:numPr>
        <w:bidi w:val="0"/>
        <w:rPr>
          <w:rFonts w:hint="default" w:ascii="Times New Roman" w:hAnsi="Times New Roman" w:eastAsia="方正小标宋_GBK" w:cs="Times New Roman"/>
          <w:sz w:val="44"/>
          <w:szCs w:val="44"/>
          <w:lang w:val="en-US" w:eastAsia="zh-CN"/>
        </w:rPr>
      </w:pPr>
      <w:bookmarkStart w:id="19" w:name="_Toc23552"/>
      <w:r>
        <w:rPr>
          <w:rFonts w:hint="default" w:ascii="Times New Roman" w:hAnsi="Times New Roman" w:eastAsia="方正小标宋_GBK" w:cs="Times New Roman"/>
          <w:sz w:val="44"/>
          <w:szCs w:val="44"/>
          <w:lang w:val="en-US" w:eastAsia="zh-CN"/>
        </w:rPr>
        <w:t>供应商须知</w:t>
      </w:r>
      <w:bookmarkEnd w:id="19"/>
    </w:p>
    <w:p w14:paraId="1BC6B060">
      <w:pPr>
        <w:pStyle w:val="4"/>
        <w:bidi w:val="0"/>
        <w:rPr>
          <w:rFonts w:hint="default" w:ascii="Times New Roman" w:hAnsi="Times New Roman" w:cs="Times New Roman"/>
        </w:rPr>
      </w:pPr>
      <w:bookmarkStart w:id="20" w:name="_Toc1433"/>
      <w:bookmarkStart w:id="21" w:name="_Toc7353"/>
      <w:r>
        <w:rPr>
          <w:rFonts w:hint="default" w:ascii="Times New Roman" w:hAnsi="Times New Roman" w:cs="Times New Roman"/>
        </w:rPr>
        <w:t>供应商须知前附表</w:t>
      </w:r>
      <w:bookmarkEnd w:id="20"/>
      <w:bookmarkEnd w:id="21"/>
    </w:p>
    <w:tbl>
      <w:tblPr>
        <w:tblStyle w:val="15"/>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14:paraId="15CC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234B7E4">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序号</w:t>
            </w:r>
          </w:p>
        </w:tc>
        <w:tc>
          <w:tcPr>
            <w:tcW w:w="2253" w:type="dxa"/>
            <w:tcBorders>
              <w:top w:val="single" w:color="auto" w:sz="4" w:space="0"/>
              <w:left w:val="single" w:color="auto" w:sz="4" w:space="0"/>
              <w:bottom w:val="single" w:color="auto" w:sz="4" w:space="0"/>
              <w:right w:val="single" w:color="auto" w:sz="4" w:space="0"/>
            </w:tcBorders>
            <w:vAlign w:val="center"/>
          </w:tcPr>
          <w:p w14:paraId="79E9EDCA">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条 款 名 称</w:t>
            </w:r>
          </w:p>
        </w:tc>
        <w:tc>
          <w:tcPr>
            <w:tcW w:w="6985" w:type="dxa"/>
            <w:tcBorders>
              <w:top w:val="single" w:color="auto" w:sz="4" w:space="0"/>
              <w:left w:val="single" w:color="auto" w:sz="4" w:space="0"/>
              <w:bottom w:val="single" w:color="auto" w:sz="4" w:space="0"/>
              <w:right w:val="single" w:color="auto" w:sz="4" w:space="0"/>
            </w:tcBorders>
            <w:vAlign w:val="center"/>
          </w:tcPr>
          <w:p w14:paraId="5F5562D1">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编 列 内 容</w:t>
            </w:r>
          </w:p>
        </w:tc>
      </w:tr>
      <w:tr w14:paraId="1D86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14:paraId="6E3CE2CB">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2253" w:type="dxa"/>
            <w:tcBorders>
              <w:top w:val="single" w:color="auto" w:sz="4" w:space="0"/>
              <w:left w:val="single" w:color="auto" w:sz="4" w:space="0"/>
              <w:bottom w:val="single" w:color="auto" w:sz="4" w:space="0"/>
              <w:right w:val="single" w:color="auto" w:sz="4" w:space="0"/>
            </w:tcBorders>
            <w:vAlign w:val="center"/>
          </w:tcPr>
          <w:p w14:paraId="1C78C4F3">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采购人</w:t>
            </w:r>
          </w:p>
        </w:tc>
        <w:tc>
          <w:tcPr>
            <w:tcW w:w="6985" w:type="dxa"/>
            <w:tcBorders>
              <w:top w:val="single" w:color="auto" w:sz="4" w:space="0"/>
              <w:left w:val="single" w:color="auto" w:sz="4" w:space="0"/>
              <w:bottom w:val="single" w:color="auto" w:sz="4" w:space="0"/>
              <w:right w:val="single" w:color="auto" w:sz="4" w:space="0"/>
            </w:tcBorders>
            <w:vAlign w:val="center"/>
          </w:tcPr>
          <w:p w14:paraId="4B0BCD61">
            <w:pPr>
              <w:pStyle w:val="10"/>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采购人：大理州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第二人民医院</w:t>
            </w:r>
          </w:p>
          <w:p w14:paraId="365BD3E9">
            <w:pPr>
              <w:pStyle w:val="10"/>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r>
              <w:rPr>
                <w:rFonts w:hint="default" w:ascii="Times New Roman" w:hAnsi="Times New Roman" w:eastAsia="方正仿宋_GBK" w:cs="Times New Roman"/>
                <w:bCs/>
                <w:spacing w:val="10"/>
                <w:sz w:val="32"/>
                <w:szCs w:val="32"/>
              </w:rPr>
              <w:t>12532900432545899G</w:t>
            </w:r>
          </w:p>
          <w:p w14:paraId="34DA31F1">
            <w:pPr>
              <w:pStyle w:val="10"/>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地址：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大理市满江街道红山路与太和路交汇处</w:t>
            </w:r>
          </w:p>
          <w:p w14:paraId="33D4A070">
            <w:pPr>
              <w:pStyle w:val="10"/>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先生 </w:t>
            </w:r>
          </w:p>
          <w:p w14:paraId="7FABEA3D">
            <w:pPr>
              <w:pStyle w:val="10"/>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0872-2125928</w:t>
            </w:r>
          </w:p>
        </w:tc>
      </w:tr>
      <w:tr w14:paraId="61B6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14:paraId="4E71C599">
            <w:pPr>
              <w:keepNext w:val="0"/>
              <w:keepLines w:val="0"/>
              <w:pageBreakBefore w:val="0"/>
              <w:widowControl/>
              <w:kinsoku/>
              <w:wordWrap/>
              <w:overflowPunct/>
              <w:topLinePunct w:val="0"/>
              <w:bidi w:val="0"/>
              <w:adjustRightInd/>
              <w:snapToGrid/>
              <w:spacing w:line="44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53" w:type="dxa"/>
            <w:tcBorders>
              <w:top w:val="single" w:color="auto" w:sz="4" w:space="0"/>
              <w:left w:val="single" w:color="auto" w:sz="4" w:space="0"/>
              <w:bottom w:val="single" w:color="auto" w:sz="4" w:space="0"/>
              <w:right w:val="single" w:color="auto" w:sz="4" w:space="0"/>
            </w:tcBorders>
            <w:vAlign w:val="center"/>
          </w:tcPr>
          <w:p w14:paraId="19DE2CF1">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14:paraId="44B93D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0" w:firstLineChars="0"/>
              <w:jc w:val="both"/>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项目名称：</w:t>
            </w:r>
            <w:r>
              <w:rPr>
                <w:rFonts w:hint="eastAsia" w:ascii="Times New Roman" w:hAnsi="Times New Roman" w:cs="Times New Roman"/>
                <w:b w:val="0"/>
                <w:bCs w:val="0"/>
                <w:color w:val="auto"/>
                <w:sz w:val="32"/>
                <w:szCs w:val="32"/>
                <w:u w:val="none" w:color="auto"/>
                <w:lang w:val="en-US" w:eastAsia="zh-CN"/>
              </w:rPr>
              <w:t>大理州第二人民医院2025年药物基因检测试剂耗材采购项目（二次）</w:t>
            </w:r>
          </w:p>
          <w:p w14:paraId="435F5693">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DLZEYZCB-2025-05</w:t>
            </w:r>
          </w:p>
        </w:tc>
      </w:tr>
      <w:tr w14:paraId="4483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BCC2B3F">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2253" w:type="dxa"/>
            <w:tcBorders>
              <w:top w:val="single" w:color="auto" w:sz="4" w:space="0"/>
              <w:left w:val="single" w:color="auto" w:sz="4" w:space="0"/>
              <w:bottom w:val="single" w:color="auto" w:sz="4" w:space="0"/>
              <w:right w:val="single" w:color="auto" w:sz="4" w:space="0"/>
            </w:tcBorders>
            <w:vAlign w:val="center"/>
          </w:tcPr>
          <w:p w14:paraId="1BAFF024">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采购范围及预算金额</w:t>
            </w:r>
          </w:p>
        </w:tc>
        <w:tc>
          <w:tcPr>
            <w:tcW w:w="6985" w:type="dxa"/>
            <w:tcBorders>
              <w:top w:val="single" w:color="auto" w:sz="4" w:space="0"/>
              <w:left w:val="single" w:color="auto" w:sz="4" w:space="0"/>
              <w:bottom w:val="single" w:color="auto" w:sz="4" w:space="0"/>
              <w:right w:val="single" w:color="auto" w:sz="4" w:space="0"/>
            </w:tcBorders>
            <w:vAlign w:val="center"/>
          </w:tcPr>
          <w:p w14:paraId="7844C143">
            <w:pPr>
              <w:keepNext w:val="0"/>
              <w:keepLines w:val="0"/>
              <w:pageBreakBefore w:val="0"/>
              <w:kinsoku/>
              <w:wordWrap/>
              <w:overflowPunct/>
              <w:topLinePunct w:val="0"/>
              <w:bidi w:val="0"/>
              <w:adjustRightInd/>
              <w:snapToGrid/>
              <w:spacing w:line="440" w:lineRule="exact"/>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采购范围：</w:t>
            </w:r>
            <w:r>
              <w:rPr>
                <w:rFonts w:hint="default" w:ascii="Times New Roman" w:hAnsi="Times New Roman" w:eastAsia="方正仿宋_GBK" w:cs="Times New Roman"/>
                <w:b/>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b/>
                <w:color w:val="000000" w:themeColor="text1"/>
                <w:sz w:val="32"/>
                <w:szCs w:val="32"/>
                <w14:textFill>
                  <w14:solidFill>
                    <w14:schemeClr w14:val="tx1"/>
                  </w14:solidFill>
                </w14:textFill>
              </w:rPr>
              <w:t>》</w:t>
            </w:r>
          </w:p>
          <w:p w14:paraId="2EC10759">
            <w:pPr>
              <w:keepNext w:val="0"/>
              <w:keepLines w:val="0"/>
              <w:pageBreakBefore w:val="0"/>
              <w:kinsoku/>
              <w:wordWrap/>
              <w:overflowPunct/>
              <w:topLinePunct w:val="0"/>
              <w:bidi w:val="0"/>
              <w:adjustRightInd/>
              <w:snapToGrid/>
              <w:spacing w:line="440" w:lineRule="exact"/>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w:t>
            </w:r>
            <w:r>
              <w:rPr>
                <w:rFonts w:hint="default" w:ascii="Times New Roman" w:hAnsi="Times New Roman" w:cs="Times New Roman"/>
                <w:color w:val="000000" w:themeColor="text1"/>
                <w:sz w:val="32"/>
                <w:szCs w:val="32"/>
                <w:lang w:val="en-US" w:eastAsia="zh-CN"/>
                <w14:textFill>
                  <w14:solidFill>
                    <w14:schemeClr w14:val="tx1"/>
                  </w14:solidFill>
                </w14:textFill>
              </w:rPr>
              <w:t>预算单</w:t>
            </w:r>
            <w:r>
              <w:rPr>
                <w:rFonts w:hint="default" w:ascii="Times New Roman" w:hAnsi="Times New Roman" w:eastAsia="方正仿宋_GBK" w:cs="Times New Roman"/>
                <w:color w:val="000000" w:themeColor="text1"/>
                <w:sz w:val="32"/>
                <w:szCs w:val="32"/>
                <w14:textFill>
                  <w14:solidFill>
                    <w14:schemeClr w14:val="tx1"/>
                  </w14:solidFill>
                </w14:textFill>
              </w:rPr>
              <w:t>价</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最高限价</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b w:val="0"/>
                <w:bCs w:val="0"/>
                <w:color w:val="auto"/>
                <w:sz w:val="32"/>
                <w:szCs w:val="32"/>
                <w:u w:val="none" w:color="auto"/>
                <w:lang w:val="en-US" w:eastAsia="zh-CN"/>
              </w:rPr>
              <w:t>不超过最高预算控制单价</w:t>
            </w:r>
            <w:r>
              <w:rPr>
                <w:rFonts w:hint="default" w:ascii="Times New Roman" w:hAnsi="Times New Roman" w:cs="Times New Roman"/>
                <w:color w:val="000000" w:themeColor="text1"/>
                <w:sz w:val="32"/>
                <w:szCs w:val="32"/>
                <w:lang w:val="en-US" w:eastAsia="zh-CN"/>
                <w14:textFill>
                  <w14:solidFill>
                    <w14:schemeClr w14:val="tx1"/>
                  </w14:solidFill>
                </w14:textFill>
              </w:rPr>
              <w:t>，否则按无效投标处理。</w:t>
            </w:r>
          </w:p>
        </w:tc>
      </w:tr>
      <w:tr w14:paraId="6160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A2FD925">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p>
        </w:tc>
        <w:tc>
          <w:tcPr>
            <w:tcW w:w="2253" w:type="dxa"/>
            <w:tcBorders>
              <w:top w:val="single" w:color="auto" w:sz="4" w:space="0"/>
              <w:left w:val="single" w:color="auto" w:sz="4" w:space="0"/>
              <w:bottom w:val="single" w:color="auto" w:sz="4" w:space="0"/>
              <w:right w:val="single" w:color="auto" w:sz="4" w:space="0"/>
            </w:tcBorders>
            <w:vAlign w:val="center"/>
          </w:tcPr>
          <w:p w14:paraId="014F0049">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14:paraId="3CD49BFE">
            <w:pPr>
              <w:keepNext w:val="0"/>
              <w:keepLines w:val="0"/>
              <w:pageBreakBefore w:val="0"/>
              <w:kinsoku/>
              <w:wordWrap/>
              <w:overflowPunct/>
              <w:topLinePunct w:val="0"/>
              <w:bidi w:val="0"/>
              <w:adjustRightInd/>
              <w:snapToGrid/>
              <w:spacing w:line="440" w:lineRule="exact"/>
              <w:jc w:val="lef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自筹资金，已落实</w:t>
            </w:r>
          </w:p>
        </w:tc>
      </w:tr>
      <w:tr w14:paraId="21BA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FD8B858">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p>
        </w:tc>
        <w:tc>
          <w:tcPr>
            <w:tcW w:w="2253" w:type="dxa"/>
            <w:tcBorders>
              <w:top w:val="single" w:color="auto" w:sz="4" w:space="0"/>
              <w:left w:val="single" w:color="auto" w:sz="4" w:space="0"/>
              <w:bottom w:val="single" w:color="auto" w:sz="4" w:space="0"/>
              <w:right w:val="single" w:color="auto" w:sz="4" w:space="0"/>
            </w:tcBorders>
            <w:vAlign w:val="center"/>
          </w:tcPr>
          <w:p w14:paraId="252185DC">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交货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地点</w:t>
            </w:r>
          </w:p>
        </w:tc>
        <w:tc>
          <w:tcPr>
            <w:tcW w:w="6985" w:type="dxa"/>
            <w:tcBorders>
              <w:top w:val="single" w:color="auto" w:sz="4" w:space="0"/>
              <w:left w:val="single" w:color="auto" w:sz="4" w:space="0"/>
              <w:bottom w:val="single" w:color="auto" w:sz="4" w:space="0"/>
              <w:right w:val="single" w:color="auto" w:sz="4" w:space="0"/>
            </w:tcBorders>
            <w:vAlign w:val="center"/>
          </w:tcPr>
          <w:p w14:paraId="489DF9A6">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大理州第二人民医院</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指定地点</w:t>
            </w:r>
          </w:p>
        </w:tc>
      </w:tr>
      <w:tr w14:paraId="612E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378A582">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p>
        </w:tc>
        <w:tc>
          <w:tcPr>
            <w:tcW w:w="2253" w:type="dxa"/>
            <w:tcBorders>
              <w:top w:val="single" w:color="auto" w:sz="4" w:space="0"/>
              <w:left w:val="single" w:color="auto" w:sz="4" w:space="0"/>
              <w:bottom w:val="single" w:color="auto" w:sz="4" w:space="0"/>
              <w:right w:val="single" w:color="auto" w:sz="4" w:space="0"/>
            </w:tcBorders>
            <w:vAlign w:val="center"/>
          </w:tcPr>
          <w:p w14:paraId="5F171C65">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供货要求</w:t>
            </w:r>
          </w:p>
        </w:tc>
        <w:tc>
          <w:tcPr>
            <w:tcW w:w="6985" w:type="dxa"/>
            <w:tcBorders>
              <w:top w:val="single" w:color="auto" w:sz="4" w:space="0"/>
              <w:left w:val="single" w:color="auto" w:sz="4" w:space="0"/>
              <w:bottom w:val="single" w:color="auto" w:sz="4" w:space="0"/>
              <w:right w:val="single" w:color="auto" w:sz="4" w:space="0"/>
            </w:tcBorders>
            <w:vAlign w:val="center"/>
          </w:tcPr>
          <w:p w14:paraId="485B6391">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根据合同约定供货</w:t>
            </w:r>
          </w:p>
        </w:tc>
      </w:tr>
      <w:tr w14:paraId="052B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9111ED2">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p>
        </w:tc>
        <w:tc>
          <w:tcPr>
            <w:tcW w:w="2253" w:type="dxa"/>
            <w:tcBorders>
              <w:top w:val="single" w:color="auto" w:sz="4" w:space="0"/>
              <w:left w:val="single" w:color="auto" w:sz="4" w:space="0"/>
              <w:bottom w:val="single" w:color="auto" w:sz="4" w:space="0"/>
              <w:right w:val="single" w:color="auto" w:sz="4" w:space="0"/>
            </w:tcBorders>
            <w:vAlign w:val="center"/>
          </w:tcPr>
          <w:p w14:paraId="5F9A3193">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14:paraId="3B72BE93">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有国家标准和行业标准的，按国家标准和行业标准执行，满足质量要求和使用需求的全新产品，一次验收合格。</w:t>
            </w:r>
          </w:p>
        </w:tc>
      </w:tr>
      <w:tr w14:paraId="0267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61EDA4BD">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p>
        </w:tc>
        <w:tc>
          <w:tcPr>
            <w:tcW w:w="2253" w:type="dxa"/>
            <w:tcBorders>
              <w:top w:val="single" w:color="auto" w:sz="4" w:space="0"/>
              <w:left w:val="single" w:color="auto" w:sz="4" w:space="0"/>
              <w:bottom w:val="single" w:color="auto" w:sz="4" w:space="0"/>
              <w:right w:val="single" w:color="auto" w:sz="4" w:space="0"/>
            </w:tcBorders>
            <w:vAlign w:val="center"/>
          </w:tcPr>
          <w:p w14:paraId="63BBD962">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14:paraId="56086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所提供货物应有注册证或备案凭证、合格证、检验报告等。</w:t>
            </w:r>
          </w:p>
        </w:tc>
      </w:tr>
      <w:tr w14:paraId="0149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6608356">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p>
        </w:tc>
        <w:tc>
          <w:tcPr>
            <w:tcW w:w="2253" w:type="dxa"/>
            <w:tcBorders>
              <w:top w:val="single" w:color="auto" w:sz="4" w:space="0"/>
              <w:left w:val="single" w:color="auto" w:sz="4" w:space="0"/>
              <w:bottom w:val="single" w:color="auto" w:sz="4" w:space="0"/>
              <w:right w:val="single" w:color="auto" w:sz="4" w:space="0"/>
            </w:tcBorders>
            <w:vAlign w:val="center"/>
          </w:tcPr>
          <w:p w14:paraId="5772B5B9">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构成询价响应文件部分的其他部分资料</w:t>
            </w:r>
          </w:p>
        </w:tc>
        <w:tc>
          <w:tcPr>
            <w:tcW w:w="6985" w:type="dxa"/>
            <w:tcBorders>
              <w:top w:val="single" w:color="auto" w:sz="4" w:space="0"/>
              <w:left w:val="single" w:color="auto" w:sz="4" w:space="0"/>
              <w:bottom w:val="single" w:color="auto" w:sz="4" w:space="0"/>
              <w:right w:val="single" w:color="auto" w:sz="4" w:space="0"/>
            </w:tcBorders>
            <w:vAlign w:val="center"/>
          </w:tcPr>
          <w:p w14:paraId="70BFE9E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（1）投标产品图片（扫描件加盖公章）；</w:t>
            </w:r>
          </w:p>
          <w:p w14:paraId="2800F85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（2）询价响应产品的检验报告或合格证等（复印件加盖公章）；</w:t>
            </w:r>
          </w:p>
          <w:p w14:paraId="4BEA69C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（3）询价采购文件中所涉及到的相关资料及证明文件或供应商认为必须提供的其他相关资料。</w:t>
            </w:r>
          </w:p>
        </w:tc>
      </w:tr>
      <w:tr w14:paraId="4A4F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65CD365E">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p>
        </w:tc>
        <w:tc>
          <w:tcPr>
            <w:tcW w:w="2253" w:type="dxa"/>
            <w:tcBorders>
              <w:top w:val="single" w:color="auto" w:sz="4" w:space="0"/>
              <w:left w:val="single" w:color="auto" w:sz="4" w:space="0"/>
              <w:bottom w:val="single" w:color="auto" w:sz="4" w:space="0"/>
              <w:right w:val="single" w:color="auto" w:sz="4" w:space="0"/>
            </w:tcBorders>
            <w:vAlign w:val="center"/>
          </w:tcPr>
          <w:p w14:paraId="20D9A347">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14:paraId="1278AD0E">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14:paraId="5CE2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F290EA7">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p>
        </w:tc>
        <w:tc>
          <w:tcPr>
            <w:tcW w:w="2253" w:type="dxa"/>
            <w:tcBorders>
              <w:top w:val="single" w:color="auto" w:sz="4" w:space="0"/>
              <w:left w:val="single" w:color="auto" w:sz="4" w:space="0"/>
              <w:bottom w:val="single" w:color="auto" w:sz="4" w:space="0"/>
              <w:right w:val="single" w:color="auto" w:sz="4" w:space="0"/>
            </w:tcBorders>
            <w:vAlign w:val="center"/>
          </w:tcPr>
          <w:p w14:paraId="567F0A69">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14:paraId="10C843A8">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14:paraId="519C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09311EC7">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p>
        </w:tc>
        <w:tc>
          <w:tcPr>
            <w:tcW w:w="2253" w:type="dxa"/>
            <w:tcBorders>
              <w:top w:val="single" w:color="auto" w:sz="4" w:space="0"/>
              <w:left w:val="single" w:color="auto" w:sz="4" w:space="0"/>
              <w:bottom w:val="single" w:color="auto" w:sz="4" w:space="0"/>
              <w:right w:val="single" w:color="auto" w:sz="4" w:space="0"/>
            </w:tcBorders>
            <w:vAlign w:val="center"/>
          </w:tcPr>
          <w:p w14:paraId="54AABE38">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14:paraId="3A0F7A8A">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14:paraId="170F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3D47243">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p>
        </w:tc>
        <w:tc>
          <w:tcPr>
            <w:tcW w:w="2253" w:type="dxa"/>
            <w:tcBorders>
              <w:top w:val="single" w:color="auto" w:sz="4" w:space="0"/>
              <w:left w:val="single" w:color="auto" w:sz="4" w:space="0"/>
              <w:bottom w:val="single" w:color="auto" w:sz="4" w:space="0"/>
              <w:right w:val="single" w:color="auto" w:sz="4" w:space="0"/>
            </w:tcBorders>
            <w:vAlign w:val="center"/>
          </w:tcPr>
          <w:p w14:paraId="297F1D35">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14:paraId="02B04AB5">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14:paraId="539B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9C45142">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w:t>
            </w:r>
          </w:p>
        </w:tc>
        <w:tc>
          <w:tcPr>
            <w:tcW w:w="2253" w:type="dxa"/>
            <w:tcBorders>
              <w:top w:val="single" w:color="auto" w:sz="4" w:space="0"/>
              <w:left w:val="single" w:color="auto" w:sz="4" w:space="0"/>
              <w:bottom w:val="single" w:color="auto" w:sz="4" w:space="0"/>
              <w:right w:val="single" w:color="auto" w:sz="4" w:space="0"/>
            </w:tcBorders>
            <w:vAlign w:val="center"/>
          </w:tcPr>
          <w:p w14:paraId="524226E5">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14:paraId="095D9F4B">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无</w:t>
            </w:r>
          </w:p>
        </w:tc>
      </w:tr>
      <w:tr w14:paraId="3FFB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6F6BDAE">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w:t>
            </w:r>
          </w:p>
        </w:tc>
        <w:tc>
          <w:tcPr>
            <w:tcW w:w="2253" w:type="dxa"/>
            <w:tcBorders>
              <w:top w:val="single" w:color="auto" w:sz="4" w:space="0"/>
              <w:left w:val="single" w:color="auto" w:sz="4" w:space="0"/>
              <w:bottom w:val="single" w:color="auto" w:sz="4" w:space="0"/>
              <w:right w:val="single" w:color="auto" w:sz="4" w:space="0"/>
            </w:tcBorders>
            <w:vAlign w:val="center"/>
          </w:tcPr>
          <w:p w14:paraId="3E53DD85">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现场勘查</w:t>
            </w:r>
          </w:p>
        </w:tc>
        <w:tc>
          <w:tcPr>
            <w:tcW w:w="6985" w:type="dxa"/>
            <w:tcBorders>
              <w:top w:val="single" w:color="auto" w:sz="4" w:space="0"/>
              <w:left w:val="single" w:color="auto" w:sz="4" w:space="0"/>
              <w:bottom w:val="single" w:color="auto" w:sz="4" w:space="0"/>
              <w:right w:val="single" w:color="auto" w:sz="4" w:space="0"/>
            </w:tcBorders>
            <w:vAlign w:val="center"/>
          </w:tcPr>
          <w:p w14:paraId="48269B9E">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14:paraId="11B9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A855473">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p>
        </w:tc>
        <w:tc>
          <w:tcPr>
            <w:tcW w:w="2253" w:type="dxa"/>
            <w:tcBorders>
              <w:top w:val="single" w:color="auto" w:sz="4" w:space="0"/>
              <w:left w:val="single" w:color="auto" w:sz="4" w:space="0"/>
              <w:bottom w:val="single" w:color="auto" w:sz="4" w:space="0"/>
              <w:right w:val="single" w:color="auto" w:sz="4" w:space="0"/>
            </w:tcBorders>
            <w:vAlign w:val="center"/>
          </w:tcPr>
          <w:p w14:paraId="0AF8B496">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14:paraId="16BDCF7B">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14:paraId="5C65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5E7AB39">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w:t>
            </w:r>
          </w:p>
        </w:tc>
        <w:tc>
          <w:tcPr>
            <w:tcW w:w="2253" w:type="dxa"/>
            <w:tcBorders>
              <w:top w:val="single" w:color="auto" w:sz="4" w:space="0"/>
              <w:left w:val="single" w:color="auto" w:sz="4" w:space="0"/>
              <w:bottom w:val="single" w:color="auto" w:sz="4" w:space="0"/>
              <w:right w:val="single" w:color="auto" w:sz="4" w:space="0"/>
            </w:tcBorders>
            <w:vAlign w:val="center"/>
          </w:tcPr>
          <w:p w14:paraId="7FCF1B11">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14:paraId="0BD4EAE4">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不接受</w:t>
            </w:r>
          </w:p>
        </w:tc>
      </w:tr>
      <w:tr w14:paraId="6CC3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0FAF8D1">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17</w:t>
            </w:r>
          </w:p>
        </w:tc>
        <w:tc>
          <w:tcPr>
            <w:tcW w:w="2253" w:type="dxa"/>
            <w:tcBorders>
              <w:top w:val="single" w:color="auto" w:sz="4" w:space="0"/>
              <w:left w:val="single" w:color="auto" w:sz="4" w:space="0"/>
              <w:bottom w:val="single" w:color="auto" w:sz="4" w:space="0"/>
              <w:right w:val="single" w:color="auto" w:sz="4" w:space="0"/>
            </w:tcBorders>
            <w:vAlign w:val="center"/>
          </w:tcPr>
          <w:p w14:paraId="7FD66010">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14:paraId="09472D70">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人民币</w:t>
            </w:r>
          </w:p>
        </w:tc>
      </w:tr>
      <w:tr w14:paraId="4E30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B119A05">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w:t>
            </w:r>
          </w:p>
        </w:tc>
        <w:tc>
          <w:tcPr>
            <w:tcW w:w="2253" w:type="dxa"/>
            <w:tcBorders>
              <w:top w:val="single" w:color="auto" w:sz="4" w:space="0"/>
              <w:left w:val="single" w:color="auto" w:sz="4" w:space="0"/>
              <w:bottom w:val="single" w:color="auto" w:sz="4" w:space="0"/>
              <w:right w:val="single" w:color="auto" w:sz="4" w:space="0"/>
            </w:tcBorders>
            <w:vAlign w:val="center"/>
          </w:tcPr>
          <w:p w14:paraId="435C83EA">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14:paraId="7BA2AE1D">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正本一份，副本</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份</w:t>
            </w:r>
          </w:p>
        </w:tc>
      </w:tr>
      <w:tr w14:paraId="77F1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98959A6">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p>
        </w:tc>
        <w:tc>
          <w:tcPr>
            <w:tcW w:w="2253" w:type="dxa"/>
            <w:tcBorders>
              <w:top w:val="single" w:color="auto" w:sz="4" w:space="0"/>
              <w:left w:val="single" w:color="auto" w:sz="4" w:space="0"/>
              <w:bottom w:val="single" w:color="auto" w:sz="4" w:space="0"/>
              <w:right w:val="single" w:color="auto" w:sz="4" w:space="0"/>
            </w:tcBorders>
            <w:vAlign w:val="center"/>
          </w:tcPr>
          <w:p w14:paraId="70EEBFF2">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14:paraId="07A680A2">
            <w:pPr>
              <w:keepNext w:val="0"/>
              <w:keepLines w:val="0"/>
              <w:pageBreakBefore w:val="0"/>
              <w:kinsoku/>
              <w:wordWrap/>
              <w:overflowPunct/>
              <w:topLinePunct w:val="0"/>
              <w:autoSpaceDE w:val="0"/>
              <w:autoSpaceDN w:val="0"/>
              <w:bidi w:val="0"/>
              <w:adjustRightInd/>
              <w:snapToGrid/>
              <w:spacing w:line="440" w:lineRule="exac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p>
        </w:tc>
      </w:tr>
      <w:tr w14:paraId="5B97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7D54486">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p>
        </w:tc>
        <w:tc>
          <w:tcPr>
            <w:tcW w:w="2253" w:type="dxa"/>
            <w:tcBorders>
              <w:top w:val="single" w:color="auto" w:sz="4" w:space="0"/>
              <w:left w:val="single" w:color="auto" w:sz="4" w:space="0"/>
              <w:bottom w:val="single" w:color="auto" w:sz="4" w:space="0"/>
              <w:right w:val="single" w:color="auto" w:sz="4" w:space="0"/>
            </w:tcBorders>
            <w:vAlign w:val="center"/>
          </w:tcPr>
          <w:p w14:paraId="42F6A775">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14:paraId="5BD470E7">
            <w:pPr>
              <w:keepNext w:val="0"/>
              <w:keepLines w:val="0"/>
              <w:pageBreakBefore w:val="0"/>
              <w:kinsoku/>
              <w:wordWrap/>
              <w:overflowPunct/>
              <w:topLinePunct w:val="0"/>
              <w:bidi w:val="0"/>
              <w:adjustRightInd/>
              <w:snapToGrid/>
              <w:spacing w:line="440" w:lineRule="exact"/>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响应文件截止时间三个工作日前</w:t>
            </w:r>
          </w:p>
        </w:tc>
      </w:tr>
      <w:tr w14:paraId="5551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8EDD300">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p>
        </w:tc>
        <w:tc>
          <w:tcPr>
            <w:tcW w:w="2253" w:type="dxa"/>
            <w:tcBorders>
              <w:top w:val="single" w:color="auto" w:sz="4" w:space="0"/>
              <w:left w:val="single" w:color="auto" w:sz="4" w:space="0"/>
              <w:bottom w:val="single" w:color="auto" w:sz="4" w:space="0"/>
              <w:right w:val="single" w:color="auto" w:sz="4" w:space="0"/>
            </w:tcBorders>
            <w:vAlign w:val="center"/>
          </w:tcPr>
          <w:p w14:paraId="3786FCC7">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响应文件有效期</w:t>
            </w:r>
          </w:p>
        </w:tc>
        <w:tc>
          <w:tcPr>
            <w:tcW w:w="6985" w:type="dxa"/>
            <w:tcBorders>
              <w:top w:val="single" w:color="auto" w:sz="4" w:space="0"/>
              <w:left w:val="single" w:color="auto" w:sz="4" w:space="0"/>
              <w:bottom w:val="single" w:color="auto" w:sz="4" w:space="0"/>
              <w:right w:val="single" w:color="auto" w:sz="4" w:space="0"/>
            </w:tcBorders>
            <w:vAlign w:val="center"/>
          </w:tcPr>
          <w:p w14:paraId="29C00643">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响应文件截止之日起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w:t>
            </w:r>
            <w:r>
              <w:rPr>
                <w:rFonts w:hint="default" w:ascii="Times New Roman" w:hAnsi="Times New Roman" w:eastAsia="方正仿宋_GBK" w:cs="Times New Roman"/>
                <w:color w:val="000000" w:themeColor="text1"/>
                <w:sz w:val="32"/>
                <w:szCs w:val="32"/>
                <w14:textFill>
                  <w14:solidFill>
                    <w14:schemeClr w14:val="tx1"/>
                  </w14:solidFill>
                </w14:textFill>
              </w:rPr>
              <w:t>日历天</w:t>
            </w:r>
          </w:p>
        </w:tc>
      </w:tr>
      <w:tr w14:paraId="4BA2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63C6915E">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22</w:t>
            </w:r>
          </w:p>
        </w:tc>
        <w:tc>
          <w:tcPr>
            <w:tcW w:w="2253" w:type="dxa"/>
            <w:tcBorders>
              <w:top w:val="single" w:color="auto" w:sz="4" w:space="0"/>
              <w:left w:val="single" w:color="auto" w:sz="4" w:space="0"/>
              <w:bottom w:val="single" w:color="auto" w:sz="4" w:space="0"/>
              <w:right w:val="single" w:color="auto" w:sz="4" w:space="0"/>
            </w:tcBorders>
            <w:vAlign w:val="center"/>
          </w:tcPr>
          <w:p w14:paraId="1E59C2A8">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r>
              <w:rPr>
                <w:rFonts w:hint="default" w:ascii="Times New Roman" w:hAnsi="Times New Roman" w:cs="Times New Roman"/>
                <w:color w:val="000000" w:themeColor="text1"/>
                <w:sz w:val="32"/>
                <w:szCs w:val="32"/>
                <w:lang w:val="en-US" w:eastAsia="zh-CN"/>
                <w14:textFill>
                  <w14:solidFill>
                    <w14:schemeClr w14:val="tx1"/>
                  </w14:solidFill>
                </w14:textFill>
              </w:rPr>
              <w:t>情形</w:t>
            </w:r>
          </w:p>
        </w:tc>
        <w:tc>
          <w:tcPr>
            <w:tcW w:w="6985" w:type="dxa"/>
            <w:tcBorders>
              <w:top w:val="single" w:color="auto" w:sz="4" w:space="0"/>
              <w:left w:val="single" w:color="auto" w:sz="4" w:space="0"/>
              <w:bottom w:val="single" w:color="auto" w:sz="4" w:space="0"/>
              <w:right w:val="single" w:color="auto" w:sz="4" w:space="0"/>
            </w:tcBorders>
            <w:vAlign w:val="center"/>
          </w:tcPr>
          <w:p w14:paraId="7DAC968A">
            <w:pPr>
              <w:keepNext w:val="0"/>
              <w:keepLines w:val="0"/>
              <w:pageBreakBefore w:val="0"/>
              <w:tabs>
                <w:tab w:val="left" w:pos="1080"/>
              </w:tabs>
              <w:kinsoku/>
              <w:wordWrap/>
              <w:overflowPunct/>
              <w:topLinePunct w:val="0"/>
              <w:bidi w:val="0"/>
              <w:adjustRightInd/>
              <w:snapToGrid/>
              <w:spacing w:line="440" w:lineRule="exact"/>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不同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供应商</w:t>
            </w:r>
            <w:r>
              <w:rPr>
                <w:rFonts w:hint="eastAsia" w:ascii="Times New Roman" w:hAnsi="Times New Roman" w:eastAsia="方正仿宋_GBK" w:cs="Times New Roman"/>
                <w:color w:val="000000" w:themeColor="text1"/>
                <w:sz w:val="32"/>
                <w:szCs w:val="32"/>
                <w14:textFill>
                  <w14:solidFill>
                    <w14:schemeClr w14:val="tx1"/>
                  </w14:solidFill>
                </w14:textFill>
              </w:rPr>
              <w:t>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响应文件</w:t>
            </w:r>
            <w:r>
              <w:rPr>
                <w:rFonts w:hint="eastAsia" w:ascii="Times New Roman" w:hAnsi="Times New Roman" w:eastAsia="方正仿宋_GBK" w:cs="Times New Roman"/>
                <w:color w:val="000000" w:themeColor="text1"/>
                <w:sz w:val="32"/>
                <w:szCs w:val="32"/>
                <w14:textFill>
                  <w14:solidFill>
                    <w14:schemeClr w14:val="tx1"/>
                  </w14:solidFill>
                </w14:textFill>
              </w:rPr>
              <w:t>由同一单位或者个人编制；</w:t>
            </w:r>
          </w:p>
          <w:p w14:paraId="4DD8BD03">
            <w:pPr>
              <w:keepNext w:val="0"/>
              <w:keepLines w:val="0"/>
              <w:pageBreakBefore w:val="0"/>
              <w:tabs>
                <w:tab w:val="left" w:pos="1080"/>
              </w:tabs>
              <w:kinsoku/>
              <w:wordWrap/>
              <w:overflowPunct/>
              <w:topLinePunct w:val="0"/>
              <w:bidi w:val="0"/>
              <w:adjustRightInd/>
              <w:snapToGrid/>
              <w:spacing w:line="440" w:lineRule="exact"/>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不同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供应商</w:t>
            </w:r>
            <w:r>
              <w:rPr>
                <w:rFonts w:hint="eastAsia" w:ascii="Times New Roman" w:hAnsi="Times New Roman" w:eastAsia="方正仿宋_GBK" w:cs="Times New Roman"/>
                <w:color w:val="000000" w:themeColor="text1"/>
                <w:sz w:val="32"/>
                <w:szCs w:val="32"/>
                <w14:textFill>
                  <w14:solidFill>
                    <w14:schemeClr w14:val="tx1"/>
                  </w14:solidFill>
                </w14:textFill>
              </w:rPr>
              <w:t>委托同一单位或者个人办理投标事宜；</w:t>
            </w:r>
          </w:p>
          <w:p w14:paraId="71EBDCF1">
            <w:pPr>
              <w:keepNext w:val="0"/>
              <w:keepLines w:val="0"/>
              <w:pageBreakBefore w:val="0"/>
              <w:tabs>
                <w:tab w:val="left" w:pos="1080"/>
              </w:tabs>
              <w:kinsoku/>
              <w:wordWrap/>
              <w:overflowPunct/>
              <w:topLinePunct w:val="0"/>
              <w:bidi w:val="0"/>
              <w:adjustRightInd/>
              <w:snapToGrid/>
              <w:spacing w:line="440" w:lineRule="exact"/>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3</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不同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供应商</w:t>
            </w:r>
            <w:r>
              <w:rPr>
                <w:rFonts w:hint="eastAsia" w:ascii="Times New Roman" w:hAnsi="Times New Roman" w:eastAsia="方正仿宋_GBK" w:cs="Times New Roman"/>
                <w:color w:val="000000" w:themeColor="text1"/>
                <w:sz w:val="32"/>
                <w:szCs w:val="32"/>
                <w14:textFill>
                  <w14:solidFill>
                    <w14:schemeClr w14:val="tx1"/>
                  </w14:solidFill>
                </w14:textFill>
              </w:rPr>
              <w:t>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响应文件</w:t>
            </w:r>
            <w:r>
              <w:rPr>
                <w:rFonts w:hint="eastAsia" w:ascii="Times New Roman" w:hAnsi="Times New Roman" w:eastAsia="方正仿宋_GBK" w:cs="Times New Roman"/>
                <w:color w:val="000000" w:themeColor="text1"/>
                <w:sz w:val="32"/>
                <w:szCs w:val="32"/>
                <w14:textFill>
                  <w14:solidFill>
                    <w14:schemeClr w14:val="tx1"/>
                  </w14:solidFill>
                </w14:textFill>
              </w:rPr>
              <w:t>载明的项目管理成员或者联系人员为同一人；</w:t>
            </w:r>
          </w:p>
          <w:p w14:paraId="2015D54F">
            <w:pPr>
              <w:keepNext w:val="0"/>
              <w:keepLines w:val="0"/>
              <w:pageBreakBefore w:val="0"/>
              <w:tabs>
                <w:tab w:val="left" w:pos="1080"/>
              </w:tabs>
              <w:kinsoku/>
              <w:wordWrap/>
              <w:overflowPunct/>
              <w:topLinePunct w:val="0"/>
              <w:bidi w:val="0"/>
              <w:adjustRightInd/>
              <w:snapToGrid/>
              <w:spacing w:line="440" w:lineRule="exact"/>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不同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供应商</w:t>
            </w:r>
            <w:r>
              <w:rPr>
                <w:rFonts w:hint="eastAsia" w:ascii="Times New Roman" w:hAnsi="Times New Roman" w:eastAsia="方正仿宋_GBK" w:cs="Times New Roman"/>
                <w:color w:val="000000" w:themeColor="text1"/>
                <w:sz w:val="32"/>
                <w:szCs w:val="32"/>
                <w14:textFill>
                  <w14:solidFill>
                    <w14:schemeClr w14:val="tx1"/>
                  </w14:solidFill>
                </w14:textFill>
              </w:rPr>
              <w:t>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响应文件</w:t>
            </w:r>
            <w:r>
              <w:rPr>
                <w:rFonts w:hint="eastAsia" w:ascii="Times New Roman" w:hAnsi="Times New Roman" w:eastAsia="方正仿宋_GBK" w:cs="Times New Roman"/>
                <w:color w:val="000000" w:themeColor="text1"/>
                <w:sz w:val="32"/>
                <w:szCs w:val="32"/>
                <w14:textFill>
                  <w14:solidFill>
                    <w14:schemeClr w14:val="tx1"/>
                  </w14:solidFill>
                </w14:textFill>
              </w:rPr>
              <w:t>异常一致或者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响应</w:t>
            </w:r>
            <w:r>
              <w:rPr>
                <w:rFonts w:hint="eastAsia" w:ascii="Times New Roman" w:hAnsi="Times New Roman" w:eastAsia="方正仿宋_GBK" w:cs="Times New Roman"/>
                <w:color w:val="000000" w:themeColor="text1"/>
                <w:sz w:val="32"/>
                <w:szCs w:val="32"/>
                <w14:textFill>
                  <w14:solidFill>
                    <w14:schemeClr w14:val="tx1"/>
                  </w14:solidFill>
                </w14:textFill>
              </w:rPr>
              <w:t>报价呈规律性差异；</w:t>
            </w:r>
          </w:p>
          <w:p w14:paraId="0E839B99">
            <w:pPr>
              <w:keepNext w:val="0"/>
              <w:keepLines w:val="0"/>
              <w:pageBreakBefore w:val="0"/>
              <w:tabs>
                <w:tab w:val="left" w:pos="1080"/>
              </w:tabs>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不同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供应商</w:t>
            </w:r>
            <w:r>
              <w:rPr>
                <w:rFonts w:hint="eastAsia" w:ascii="Times New Roman" w:hAnsi="Times New Roman" w:eastAsia="方正仿宋_GBK" w:cs="Times New Roman"/>
                <w:color w:val="000000" w:themeColor="text1"/>
                <w:sz w:val="32"/>
                <w:szCs w:val="32"/>
                <w14:textFill>
                  <w14:solidFill>
                    <w14:schemeClr w14:val="tx1"/>
                  </w14:solidFill>
                </w14:textFill>
              </w:rPr>
              <w:t>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响应文件</w:t>
            </w:r>
            <w:r>
              <w:rPr>
                <w:rFonts w:hint="eastAsia" w:ascii="Times New Roman" w:hAnsi="Times New Roman" w:eastAsia="方正仿宋_GBK" w:cs="Times New Roman"/>
                <w:color w:val="000000" w:themeColor="text1"/>
                <w:sz w:val="32"/>
                <w:szCs w:val="32"/>
                <w14:textFill>
                  <w14:solidFill>
                    <w14:schemeClr w14:val="tx1"/>
                  </w14:solidFill>
                </w14:textFill>
              </w:rPr>
              <w:t>相互混装；</w:t>
            </w:r>
          </w:p>
          <w:p w14:paraId="054D44CD">
            <w:pPr>
              <w:keepNext w:val="0"/>
              <w:keepLines w:val="0"/>
              <w:pageBreakBefore w:val="0"/>
              <w:tabs>
                <w:tab w:val="left" w:pos="1080"/>
              </w:tabs>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分项报价及总报价价</w:t>
            </w:r>
            <w:r>
              <w:rPr>
                <w:rFonts w:hint="default" w:ascii="Times New Roman" w:hAnsi="Times New Roman" w:eastAsia="方正仿宋_GBK" w:cs="Times New Roman"/>
                <w:color w:val="000000" w:themeColor="text1"/>
                <w:sz w:val="32"/>
                <w:szCs w:val="32"/>
                <w14:textFill>
                  <w14:solidFill>
                    <w14:schemeClr w14:val="tx1"/>
                  </w14:solidFill>
                </w14:textFill>
              </w:rPr>
              <w:t>出现1个以上报价</w:t>
            </w:r>
            <w:r>
              <w:rPr>
                <w:rFonts w:hint="eastAsia" w:ascii="Times New Roman" w:hAnsi="Times New Roman" w:cs="Times New Roman"/>
                <w:color w:val="000000" w:themeColor="text1"/>
                <w:sz w:val="32"/>
                <w:szCs w:val="32"/>
                <w:lang w:val="en-US" w:eastAsia="zh-CN"/>
                <w14:textFill>
                  <w14:solidFill>
                    <w14:schemeClr w14:val="tx1"/>
                  </w14:solidFill>
                </w14:textFill>
              </w:rPr>
              <w:t>或超过最高限价的（如有）</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19764F96">
            <w:pPr>
              <w:keepNext w:val="0"/>
              <w:keepLines w:val="0"/>
              <w:pageBreakBefore w:val="0"/>
              <w:tabs>
                <w:tab w:val="left" w:pos="1080"/>
              </w:tabs>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响应文件无法定代表人签字或签字但无法定代表人有效委托书的；</w:t>
            </w:r>
          </w:p>
          <w:p w14:paraId="691265A0">
            <w:pPr>
              <w:keepNext w:val="0"/>
              <w:keepLines w:val="0"/>
              <w:pageBreakBefore w:val="0"/>
              <w:tabs>
                <w:tab w:val="left" w:pos="1080"/>
              </w:tabs>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）投标有效期不足的；</w:t>
            </w:r>
          </w:p>
          <w:p w14:paraId="67DCB5FE">
            <w:pPr>
              <w:pStyle w:val="33"/>
              <w:keepNext w:val="0"/>
              <w:keepLines w:val="0"/>
              <w:pageBreakBefore w:val="0"/>
              <w:kinsoku/>
              <w:wordWrap/>
              <w:overflowPunct/>
              <w:topLinePunct w:val="0"/>
              <w:bidi w:val="0"/>
              <w:adjustRightInd/>
              <w:snapToGrid/>
              <w:spacing w:line="440" w:lineRule="exact"/>
              <w:ind w:left="0" w:leftChars="0" w:firstLine="0" w:firstLineChars="0"/>
              <w:textAlignment w:val="auto"/>
              <w:rPr>
                <w:rFonts w:hint="default"/>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）投标报价单价高于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最高限价</w:t>
            </w:r>
            <w:r>
              <w:rPr>
                <w:rFonts w:hint="default" w:ascii="Times New Roman" w:hAnsi="Times New Roman" w:eastAsia="方正仿宋_GBK" w:cs="Times New Roman"/>
                <w:color w:val="000000" w:themeColor="text1"/>
                <w:sz w:val="32"/>
                <w:szCs w:val="32"/>
                <w14:textFill>
                  <w14:solidFill>
                    <w14:schemeClr w14:val="tx1"/>
                  </w14:solidFill>
                </w14:textFill>
              </w:rPr>
              <w:t>的</w:t>
            </w:r>
          </w:p>
          <w:p w14:paraId="74245655">
            <w:pPr>
              <w:keepNext w:val="0"/>
              <w:keepLines w:val="0"/>
              <w:pageBreakBefore w:val="0"/>
              <w:tabs>
                <w:tab w:val="left" w:pos="1080"/>
              </w:tabs>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）投标内容有损国家的形象和公民的利益；</w:t>
            </w:r>
          </w:p>
          <w:p w14:paraId="286FABC8">
            <w:pPr>
              <w:keepNext w:val="0"/>
              <w:keepLines w:val="0"/>
              <w:pageBreakBefore w:val="0"/>
              <w:tabs>
                <w:tab w:val="left" w:pos="1080"/>
              </w:tabs>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）不符合法律、法规和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中规定的其他实质性要求的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2A63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69DB12A">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p>
        </w:tc>
        <w:tc>
          <w:tcPr>
            <w:tcW w:w="2253" w:type="dxa"/>
            <w:tcBorders>
              <w:top w:val="single" w:color="auto" w:sz="4" w:space="0"/>
              <w:left w:val="single" w:color="auto" w:sz="4" w:space="0"/>
              <w:bottom w:val="single" w:color="auto" w:sz="4" w:space="0"/>
              <w:right w:val="single" w:color="auto" w:sz="4" w:space="0"/>
            </w:tcBorders>
            <w:vAlign w:val="center"/>
          </w:tcPr>
          <w:p w14:paraId="36F9BC6E">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14:paraId="6533CB79">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443D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1638164">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p>
        </w:tc>
        <w:tc>
          <w:tcPr>
            <w:tcW w:w="2253" w:type="dxa"/>
            <w:tcBorders>
              <w:top w:val="single" w:color="auto" w:sz="4" w:space="0"/>
              <w:left w:val="single" w:color="auto" w:sz="4" w:space="0"/>
              <w:bottom w:val="single" w:color="auto" w:sz="4" w:space="0"/>
              <w:right w:val="single" w:color="auto" w:sz="4" w:space="0"/>
            </w:tcBorders>
            <w:vAlign w:val="center"/>
          </w:tcPr>
          <w:p w14:paraId="51416CA6">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14:paraId="2309F749">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提交投标文件截止时间、开标时间和地点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57E1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511D2A">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p>
        </w:tc>
        <w:tc>
          <w:tcPr>
            <w:tcW w:w="2253" w:type="dxa"/>
            <w:tcBorders>
              <w:top w:val="single" w:color="auto" w:sz="4" w:space="0"/>
              <w:left w:val="single" w:color="auto" w:sz="4" w:space="0"/>
              <w:bottom w:val="single" w:color="auto" w:sz="4" w:space="0"/>
              <w:right w:val="single" w:color="auto" w:sz="4" w:space="0"/>
            </w:tcBorders>
            <w:vAlign w:val="center"/>
          </w:tcPr>
          <w:p w14:paraId="6FBD1027">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14:paraId="7BE5D243">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提交询价响应文件截止时间、开标时间和地点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5AD4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F07E143">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w:t>
            </w:r>
          </w:p>
        </w:tc>
        <w:tc>
          <w:tcPr>
            <w:tcW w:w="2253" w:type="dxa"/>
            <w:tcBorders>
              <w:top w:val="single" w:color="auto" w:sz="4" w:space="0"/>
              <w:left w:val="single" w:color="auto" w:sz="4" w:space="0"/>
              <w:bottom w:val="single" w:color="auto" w:sz="4" w:space="0"/>
              <w:right w:val="single" w:color="auto" w:sz="4" w:space="0"/>
            </w:tcBorders>
            <w:vAlign w:val="center"/>
          </w:tcPr>
          <w:p w14:paraId="6CE594A2">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14:paraId="26972A71">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最低评标价法</w:t>
            </w:r>
          </w:p>
        </w:tc>
      </w:tr>
      <w:tr w14:paraId="60FF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C65D65E">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27</w:t>
            </w:r>
          </w:p>
        </w:tc>
        <w:tc>
          <w:tcPr>
            <w:tcW w:w="2253" w:type="dxa"/>
            <w:tcBorders>
              <w:top w:val="single" w:color="auto" w:sz="4" w:space="0"/>
              <w:left w:val="single" w:color="auto" w:sz="4" w:space="0"/>
              <w:bottom w:val="single" w:color="auto" w:sz="4" w:space="0"/>
              <w:right w:val="single" w:color="auto" w:sz="4" w:space="0"/>
            </w:tcBorders>
            <w:vAlign w:val="center"/>
          </w:tcPr>
          <w:p w14:paraId="08FF98B0">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14:paraId="0C937CB4">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付款方式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1（若供应商规模属于中小微企业类型）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对公转账，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甲方收到乙方配送的试剂耗材后按照实际数量及随货单（出库单）验收入库</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依据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乙方开具的正式发票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60日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内付款。</w:t>
            </w:r>
          </w:p>
          <w:p w14:paraId="4DCD183D">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付款方式2（若供应商规模属于大型企业类型）：</w:t>
            </w:r>
            <w:r>
              <w:rPr>
                <w:rFonts w:hint="eastAsia" w:ascii="Times New Roman" w:hAnsi="Times New Roman" w:cs="Times New Roman"/>
                <w:color w:val="000000" w:themeColor="text1"/>
                <w:sz w:val="32"/>
                <w:szCs w:val="32"/>
                <w:lang w:val="en-US" w:eastAsia="zh-CN"/>
                <w14:textFill>
                  <w14:solidFill>
                    <w14:schemeClr w14:val="tx1"/>
                  </w14:solidFill>
                </w14:textFill>
              </w:rPr>
              <w:t>对公转账，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甲方收到乙方配送的试剂耗材后按照实际数量及随货单（出库单）验收入库</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依据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乙方开具的正式发票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90日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内付款</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tc>
      </w:tr>
      <w:tr w14:paraId="3116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C4FD5B8">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28</w:t>
            </w:r>
          </w:p>
        </w:tc>
        <w:tc>
          <w:tcPr>
            <w:tcW w:w="2253" w:type="dxa"/>
            <w:tcBorders>
              <w:top w:val="single" w:color="auto" w:sz="4" w:space="0"/>
              <w:left w:val="single" w:color="auto" w:sz="4" w:space="0"/>
              <w:bottom w:val="single" w:color="auto" w:sz="4" w:space="0"/>
              <w:right w:val="single" w:color="auto" w:sz="4" w:space="0"/>
            </w:tcBorders>
            <w:vAlign w:val="center"/>
          </w:tcPr>
          <w:p w14:paraId="633C2FDF">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14:paraId="51E39EDE">
            <w:pPr>
              <w:keepNext w:val="0"/>
              <w:keepLines w:val="0"/>
              <w:pageBreakBefore w:val="0"/>
              <w:numPr>
                <w:ilvl w:val="0"/>
                <w:numId w:val="0"/>
              </w:numPr>
              <w:kinsoku/>
              <w:wordWrap/>
              <w:overflowPunct/>
              <w:topLinePunct w:val="0"/>
              <w:bidi w:val="0"/>
              <w:adjustRightInd/>
              <w:snapToGrid/>
              <w:spacing w:line="440" w:lineRule="exact"/>
              <w:ind w:leftChars="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无需向采购人提交</w:t>
            </w:r>
          </w:p>
        </w:tc>
      </w:tr>
      <w:tr w14:paraId="5990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E4ABD64">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w:t>
            </w:r>
          </w:p>
        </w:tc>
        <w:tc>
          <w:tcPr>
            <w:tcW w:w="2253" w:type="dxa"/>
            <w:tcBorders>
              <w:top w:val="single" w:color="auto" w:sz="4" w:space="0"/>
              <w:left w:val="single" w:color="auto" w:sz="4" w:space="0"/>
              <w:bottom w:val="single" w:color="auto" w:sz="4" w:space="0"/>
              <w:right w:val="single" w:color="auto" w:sz="4" w:space="0"/>
            </w:tcBorders>
            <w:vAlign w:val="center"/>
          </w:tcPr>
          <w:p w14:paraId="7E94E800">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14:paraId="293B2C27">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材料提交不齐全的视为未响应询价采购文件。</w:t>
            </w:r>
          </w:p>
        </w:tc>
      </w:tr>
    </w:tbl>
    <w:p w14:paraId="7376197E">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bookmarkStart w:id="22" w:name="_Toc26688"/>
    </w:p>
    <w:p w14:paraId="3F66826C">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1038D764">
      <w:pPr>
        <w:pStyle w:val="2"/>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71F79711">
      <w:pPr>
        <w:rPr>
          <w:rFonts w:hint="default" w:ascii="Times New Roman" w:hAnsi="Times New Roman" w:cs="Times New Roman"/>
        </w:rPr>
      </w:pPr>
    </w:p>
    <w:p w14:paraId="7384D932">
      <w:pPr>
        <w:pStyle w:val="4"/>
        <w:bidi w:val="0"/>
        <w:ind w:firstLine="643" w:firstLineChars="200"/>
        <w:rPr>
          <w:rFonts w:hint="default" w:ascii="Times New Roman" w:hAnsi="Times New Roman" w:cs="Times New Roman"/>
        </w:rPr>
      </w:pPr>
      <w:bookmarkStart w:id="23" w:name="_Toc9102"/>
      <w:r>
        <w:rPr>
          <w:rFonts w:hint="default" w:ascii="Times New Roman" w:hAnsi="Times New Roman" w:cs="Times New Roman"/>
        </w:rPr>
        <w:t>一、总  则</w:t>
      </w:r>
      <w:bookmarkEnd w:id="22"/>
      <w:bookmarkEnd w:id="23"/>
    </w:p>
    <w:p w14:paraId="588104D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必须完整阅读完本询价文件</w:t>
      </w:r>
    </w:p>
    <w:p w14:paraId="61D53E7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本询价文件共由</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六</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章</w:t>
      </w:r>
      <w:r>
        <w:rPr>
          <w:rFonts w:hint="default" w:ascii="Times New Roman" w:hAnsi="Times New Roman" w:eastAsia="方正仿宋_GBK" w:cs="Times New Roman"/>
          <w:color w:val="000000" w:themeColor="text1"/>
          <w:sz w:val="32"/>
          <w:szCs w:val="32"/>
          <w14:textFill>
            <w14:solidFill>
              <w14:schemeClr w14:val="tx1"/>
            </w14:solidFill>
          </w14:textFill>
        </w:rPr>
        <w:t>组成。参与询价供应商在下载本询价文件之后，须仔细完整地进行阅读，全面理解询价文件的规定；一旦供应商在规定时间和地点递交了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响应文件，即视为</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已知晓并接受</w:t>
      </w:r>
      <w:r>
        <w:rPr>
          <w:rFonts w:hint="default" w:ascii="Times New Roman" w:hAnsi="Times New Roman" w:eastAsia="方正仿宋_GBK" w:cs="Times New Roman"/>
          <w:color w:val="000000" w:themeColor="text1"/>
          <w:sz w:val="32"/>
          <w:szCs w:val="32"/>
          <w14:textFill>
            <w14:solidFill>
              <w14:schemeClr w14:val="tx1"/>
            </w14:solidFill>
          </w14:textFill>
        </w:rPr>
        <w:t>本询价文件的所有规定。</w:t>
      </w:r>
    </w:p>
    <w:p w14:paraId="47F3A617">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合格的供应商</w:t>
      </w:r>
    </w:p>
    <w:p w14:paraId="115C48EB">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可以参加本次采购活动的合格供应商，除符合本询价采购文件规定的供应商条件外，还须严格遵守中华人民共和国有关法律法规开展经营活动，因前述因素引起的一切后果，由参与询价的供应商自行承担。</w:t>
      </w:r>
    </w:p>
    <w:p w14:paraId="1F95868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2.2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是否接受联合体投标：否</w:t>
      </w:r>
    </w:p>
    <w:p w14:paraId="5C612854">
      <w:pPr>
        <w:pStyle w:val="2"/>
        <w:ind w:firstLine="640"/>
        <w:rPr>
          <w:rFonts w:hint="default" w:ascii="Times New Roman" w:hAnsi="Times New Roman" w:eastAsia="方正仿宋_GBK" w:cs="Times New Roman"/>
          <w:bCs w:val="0"/>
          <w:color w:val="FF0000"/>
          <w:kern w:val="2"/>
          <w:sz w:val="32"/>
          <w:szCs w:val="32"/>
          <w:lang w:val="en-US" w:eastAsia="zh-CN" w:bidi="ar-SA"/>
        </w:rPr>
      </w:pPr>
      <w:r>
        <w:rPr>
          <w:rFonts w:hint="default" w:ascii="Times New Roman" w:hAnsi="Times New Roman" w:cs="Times New Roman"/>
          <w:color w:val="FF0000"/>
          <w:sz w:val="32"/>
          <w:szCs w:val="32"/>
          <w:lang w:val="en-US" w:eastAsia="zh-CN"/>
        </w:rPr>
        <w:t xml:space="preserve">2.3 </w:t>
      </w:r>
      <w:r>
        <w:rPr>
          <w:rFonts w:hint="default" w:ascii="Times New Roman" w:hAnsi="Times New Roman" w:eastAsia="方正仿宋_GBK" w:cs="Times New Roman"/>
          <w:bCs w:val="0"/>
          <w:color w:val="FF0000"/>
          <w:kern w:val="2"/>
          <w:sz w:val="32"/>
          <w:szCs w:val="32"/>
          <w:lang w:val="en-US" w:eastAsia="zh-CN" w:bidi="ar-SA"/>
        </w:rPr>
        <w:t>未在规定时间内参与报名或提供报名材料</w:t>
      </w:r>
      <w:r>
        <w:rPr>
          <w:rFonts w:hint="default" w:ascii="Times New Roman" w:hAnsi="Times New Roman" w:cs="Times New Roman"/>
          <w:bCs w:val="0"/>
          <w:color w:val="FF0000"/>
          <w:kern w:val="2"/>
          <w:sz w:val="32"/>
          <w:szCs w:val="32"/>
          <w:lang w:val="en-US" w:eastAsia="zh-CN" w:bidi="ar-SA"/>
        </w:rPr>
        <w:t>不</w:t>
      </w:r>
      <w:r>
        <w:rPr>
          <w:rFonts w:hint="default" w:ascii="Times New Roman" w:hAnsi="Times New Roman" w:eastAsia="方正仿宋_GBK" w:cs="Times New Roman"/>
          <w:bCs w:val="0"/>
          <w:color w:val="FF0000"/>
          <w:kern w:val="2"/>
          <w:sz w:val="32"/>
          <w:szCs w:val="32"/>
          <w:lang w:val="en-US" w:eastAsia="zh-CN" w:bidi="ar-SA"/>
        </w:rPr>
        <w:t>齐全的视为不合格供应商，不得参与本项目采购活动。</w:t>
      </w:r>
    </w:p>
    <w:p w14:paraId="0F8571AB">
      <w:pPr>
        <w:pStyle w:val="2"/>
        <w:ind w:firstLine="640"/>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如供应商为满足供应商资格要求提供虚假材料，一经查实，供应商询价响应文件将按无效处理。</w:t>
      </w:r>
    </w:p>
    <w:p w14:paraId="7B2B5AE5">
      <w:pPr>
        <w:pageBreakBefore w:val="0"/>
        <w:numPr>
          <w:ilvl w:val="0"/>
          <w:numId w:val="0"/>
        </w:numPr>
        <w:kinsoku/>
        <w:wordWrap/>
        <w:overflowPunct/>
        <w:topLinePunct w:val="0"/>
        <w:autoSpaceDE/>
        <w:autoSpaceDN/>
        <w:bidi w:val="0"/>
        <w:snapToGrid/>
        <w:spacing w:line="460" w:lineRule="exact"/>
        <w:ind w:left="420" w:leftChars="0"/>
        <w:textAlignment w:val="auto"/>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费用自行承担</w:t>
      </w:r>
    </w:p>
    <w:p w14:paraId="5A6B0FDB">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无论询价采购结果如何，所有供应商</w:t>
      </w:r>
      <w:r>
        <w:rPr>
          <w:rFonts w:hint="default" w:ascii="Times New Roman" w:hAnsi="Times New Roman" w:eastAsia="方正仿宋_GBK" w:cs="Times New Roman"/>
          <w:b/>
          <w:bCs/>
          <w:color w:val="000000" w:themeColor="text1"/>
          <w:kern w:val="2"/>
          <w:sz w:val="32"/>
          <w:szCs w:val="32"/>
          <w:u w:val="single"/>
          <w:lang w:val="en-US" w:eastAsia="zh-CN" w:bidi="ar-SA"/>
          <w14:textFill>
            <w14:solidFill>
              <w14:schemeClr w14:val="tx1"/>
            </w14:solidFill>
          </w14:textFill>
        </w:rPr>
        <w:t>自行承担</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参加本次采购活动所发生的一切费用。</w:t>
      </w:r>
    </w:p>
    <w:p w14:paraId="4A43383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资金来源</w:t>
      </w:r>
    </w:p>
    <w:p w14:paraId="542D512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”中所述的采购人资金来源为</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自筹资金，已落实</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30FBC8A1">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交货期限及交货地点</w:t>
      </w:r>
    </w:p>
    <w:p w14:paraId="2471AE1D">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交货期限及交货地点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w:t>
      </w:r>
      <w:r>
        <w:rPr>
          <w:rFonts w:hint="default" w:ascii="Times New Roman" w:hAnsi="Times New Roman" w:eastAsia="方正仿宋_GBK" w:cs="Times New Roman"/>
          <w:color w:val="000000" w:themeColor="text1"/>
          <w:sz w:val="32"/>
          <w:szCs w:val="32"/>
          <w14:textFill>
            <w14:solidFill>
              <w14:schemeClr w14:val="tx1"/>
            </w14:solidFill>
          </w14:textFill>
        </w:rPr>
        <w:t>见“</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76BFB87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24" w:name="_Toc475291681"/>
      <w:bookmarkStart w:id="25" w:name="_Toc476848359"/>
      <w:bookmarkStart w:id="26" w:name="_Toc321836356"/>
      <w:r>
        <w:rPr>
          <w:rFonts w:hint="default" w:ascii="Times New Roman" w:hAnsi="Times New Roman" w:eastAsia="方正仿宋_GBK" w:cs="Times New Roman"/>
          <w:b w:val="0"/>
          <w:bCs/>
          <w:color w:val="000000" w:themeColor="text1"/>
          <w:sz w:val="32"/>
          <w:szCs w:val="32"/>
          <w14:textFill>
            <w14:solidFill>
              <w14:schemeClr w14:val="tx1"/>
            </w14:solidFill>
          </w14:textFill>
        </w:rPr>
        <w:t>6.</w:t>
      </w:r>
      <w:r>
        <w:rPr>
          <w:rFonts w:hint="default" w:ascii="Times New Roman" w:hAnsi="Times New Roman" w:eastAsia="方正仿宋_GBK" w:cs="Times New Roman"/>
          <w:b/>
          <w:color w:val="000000" w:themeColor="text1"/>
          <w:sz w:val="32"/>
          <w:szCs w:val="32"/>
          <w14:textFill>
            <w14:solidFill>
              <w14:schemeClr w14:val="tx1"/>
            </w14:solidFill>
          </w14:textFill>
        </w:rPr>
        <w:t>质疑</w:t>
      </w:r>
      <w:bookmarkEnd w:id="24"/>
      <w:bookmarkEnd w:id="25"/>
      <w:bookmarkEnd w:id="26"/>
    </w:p>
    <w:p w14:paraId="1E5831F0">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6.1</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供应商认为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14:paraId="1E90CEC9">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提出质疑的供应商（以下简称质疑供应商）应当是参与所质疑项目采购活动的供应商。</w:t>
      </w:r>
    </w:p>
    <w:p w14:paraId="28A5BA58">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潜在供应商已依法获取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采购文件的，可以对该文件提出质疑。对采购文件提出质疑的，应当在获取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文件或者采购公告期限届满之日（报名结束之日）起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个工作日内提出。</w:t>
      </w:r>
    </w:p>
    <w:p w14:paraId="6D55D9BF">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受理质疑部门：</w:t>
      </w:r>
    </w:p>
    <w:p w14:paraId="5562ACA1">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详见须知前附表</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lang w:val="en-US" w:eastAsia="zh-CN"/>
          <w14:textFill>
            <w14:solidFill>
              <w14:schemeClr w14:val="tx1"/>
            </w14:solidFill>
          </w14:textFill>
        </w:rPr>
        <w:t>采购人</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p>
    <w:p w14:paraId="7510B73E">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6.2供应商提供的质疑书（如材料中有外文资料应同时附上中文译本）应当包括以下主要内容：</w:t>
      </w:r>
    </w:p>
    <w:p w14:paraId="3008FB86">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（一）供应商的姓名或者名称、地址、邮编、联系人及联系电话；</w:t>
      </w:r>
    </w:p>
    <w:p w14:paraId="664DFAEA">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（二）质疑项目的名称、编号；</w:t>
      </w:r>
    </w:p>
    <w:p w14:paraId="60E1A76A">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（三）具体、明确的质疑事项和与质疑事项相关的请求；</w:t>
      </w:r>
    </w:p>
    <w:p w14:paraId="2454EF82">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（四）事实依据；</w:t>
      </w:r>
    </w:p>
    <w:p w14:paraId="0BD84A7A">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（五）必要的法律依据；</w:t>
      </w:r>
    </w:p>
    <w:p w14:paraId="4AE07827">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（六）提出质疑的日期。</w:t>
      </w:r>
    </w:p>
    <w:p w14:paraId="2793A07C">
      <w:pPr>
        <w:pageBreakBefore w:val="0"/>
        <w:kinsoku/>
        <w:wordWrap/>
        <w:overflowPunct/>
        <w:topLinePunct w:val="0"/>
        <w:autoSpaceDE/>
        <w:autoSpaceDN/>
        <w:bidi w:val="0"/>
        <w:snapToGrid/>
        <w:spacing w:line="460" w:lineRule="exact"/>
        <w:ind w:firstLine="723" w:firstLineChars="225"/>
        <w:jc w:val="left"/>
        <w:textAlignment w:val="auto"/>
        <w:rPr>
          <w:rFonts w:hint="default" w:ascii="Times New Roman" w:hAnsi="Times New Roman" w:eastAsia="方正仿宋_GBK" w:cs="Times New Roman"/>
          <w:b/>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14:paraId="12C73318">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6.3</w:t>
      </w:r>
      <w:r>
        <w:rPr>
          <w:rFonts w:hint="default" w:ascii="Times New Roman" w:hAnsi="Times New Roman" w:eastAsia="方正仿宋_GBK" w:cs="Times New Roman"/>
          <w:color w:val="000000" w:themeColor="text1"/>
          <w:kern w:val="0"/>
          <w:sz w:val="32"/>
          <w:szCs w:val="32"/>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14:paraId="174FBBF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7" w:name="_Toc480665479"/>
      <w:bookmarkStart w:id="28" w:name="_Toc476856065"/>
      <w:bookmarkStart w:id="29" w:name="_Toc476848360"/>
      <w:bookmarkStart w:id="30" w:name="_Toc475291682"/>
      <w:r>
        <w:rPr>
          <w:rFonts w:hint="default" w:ascii="Times New Roman" w:hAnsi="Times New Roman" w:eastAsia="方正仿宋_GBK" w:cs="Times New Roman"/>
          <w:b w:val="0"/>
          <w:bCs w:val="0"/>
          <w:color w:val="000000" w:themeColor="text1"/>
          <w:sz w:val="32"/>
          <w:szCs w:val="32"/>
          <w14:textFill>
            <w14:solidFill>
              <w14:schemeClr w14:val="tx1"/>
            </w14:solidFill>
          </w14:textFill>
        </w:rPr>
        <w:t>6.4</w:t>
      </w:r>
      <w:r>
        <w:rPr>
          <w:rFonts w:hint="default" w:ascii="Times New Roman" w:hAnsi="Times New Roman" w:eastAsia="方正仿宋_GBK" w:cs="Times New Roman"/>
          <w:color w:val="000000" w:themeColor="text1"/>
          <w:sz w:val="32"/>
          <w:szCs w:val="32"/>
          <w14:textFill>
            <w14:solidFill>
              <w14:schemeClr w14:val="tx1"/>
            </w14:solidFill>
          </w14:textFill>
        </w:rPr>
        <w:t>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default" w:ascii="Times New Roman" w:hAnsi="Times New Roman" w:eastAsia="方正仿宋_GBK" w:cs="Times New Roman"/>
          <w:color w:val="000000" w:themeColor="text1"/>
          <w:sz w:val="32"/>
          <w:szCs w:val="32"/>
          <w14:textFill>
            <w14:solidFill>
              <w14:schemeClr w14:val="tx1"/>
            </w14:solidFill>
          </w14:textFill>
        </w:rPr>
        <w:t>采购活动的供应商对评审过程或者结果提出质疑的，采购人可以组织原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评审专家</w:t>
      </w:r>
      <w:r>
        <w:rPr>
          <w:rFonts w:hint="default" w:ascii="Times New Roman" w:hAnsi="Times New Roman" w:eastAsia="方正仿宋_GBK" w:cs="Times New Roman"/>
          <w:color w:val="000000" w:themeColor="text1"/>
          <w:sz w:val="32"/>
          <w:szCs w:val="32"/>
          <w14:textFill>
            <w14:solidFill>
              <w14:schemeClr w14:val="tx1"/>
            </w14:solidFill>
          </w14:textFill>
        </w:rPr>
        <w:t>协助处理质疑事项，并依据评审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专家</w:t>
      </w:r>
      <w:r>
        <w:rPr>
          <w:rFonts w:hint="default" w:ascii="Times New Roman" w:hAnsi="Times New Roman" w:eastAsia="方正仿宋_GBK" w:cs="Times New Roman"/>
          <w:color w:val="000000" w:themeColor="text1"/>
          <w:sz w:val="32"/>
          <w:szCs w:val="32"/>
          <w14:textFill>
            <w14:solidFill>
              <w14:schemeClr w14:val="tx1"/>
            </w14:solidFill>
          </w14:textFill>
        </w:rPr>
        <w:t>出具的意见进行答复。</w:t>
      </w:r>
      <w:bookmarkEnd w:id="27"/>
      <w:bookmarkEnd w:id="28"/>
      <w:bookmarkEnd w:id="29"/>
      <w:bookmarkEnd w:id="30"/>
    </w:p>
    <w:p w14:paraId="17AABC23">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6.5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针对同一采购程序环节的质疑，供应商在法定质疑期内应当一次性提出。</w:t>
      </w:r>
    </w:p>
    <w:p w14:paraId="2F9B4CAA">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31" w:name="_Toc321836357"/>
      <w:bookmarkStart w:id="32" w:name="_Toc475291683"/>
      <w:bookmarkStart w:id="33" w:name="_Toc480665480"/>
      <w:bookmarkStart w:id="34" w:name="_Toc476848361"/>
      <w:bookmarkStart w:id="35" w:name="_Toc476856066"/>
      <w:r>
        <w:rPr>
          <w:rFonts w:hint="default" w:ascii="Times New Roman" w:hAnsi="Times New Roman" w:eastAsia="方正仿宋_GBK" w:cs="Times New Roman"/>
          <w:b w:val="0"/>
          <w:bCs/>
          <w:color w:val="000000" w:themeColor="text1"/>
          <w:sz w:val="32"/>
          <w:szCs w:val="32"/>
          <w14:textFill>
            <w14:solidFill>
              <w14:schemeClr w14:val="tx1"/>
            </w14:solidFill>
          </w14:textFill>
        </w:rPr>
        <w:t>7.</w:t>
      </w:r>
      <w:r>
        <w:rPr>
          <w:rFonts w:hint="default" w:ascii="Times New Roman" w:hAnsi="Times New Roman" w:eastAsia="方正仿宋_GBK" w:cs="Times New Roman"/>
          <w:b/>
          <w:color w:val="000000" w:themeColor="text1"/>
          <w:sz w:val="32"/>
          <w:szCs w:val="32"/>
          <w14:textFill>
            <w14:solidFill>
              <w14:schemeClr w14:val="tx1"/>
            </w14:solidFill>
          </w14:textFill>
        </w:rPr>
        <w:t>投诉</w:t>
      </w:r>
      <w:bookmarkEnd w:id="31"/>
      <w:bookmarkEnd w:id="32"/>
      <w:bookmarkEnd w:id="33"/>
      <w:bookmarkEnd w:id="34"/>
      <w:bookmarkEnd w:id="35"/>
    </w:p>
    <w:p w14:paraId="37B8A732">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7.1</w:t>
      </w:r>
      <w:r>
        <w:rPr>
          <w:rFonts w:hint="default" w:ascii="Times New Roman" w:hAnsi="Times New Roman" w:eastAsia="方正仿宋_GBK" w:cs="Times New Roman"/>
          <w:color w:val="000000" w:themeColor="text1"/>
          <w:sz w:val="32"/>
          <w:szCs w:val="32"/>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采购人监督部门</w:t>
      </w:r>
      <w:r>
        <w:rPr>
          <w:rFonts w:hint="default" w:ascii="Times New Roman" w:hAnsi="Times New Roman" w:eastAsia="方正仿宋_GBK" w:cs="Times New Roman"/>
          <w:color w:val="000000" w:themeColor="text1"/>
          <w:sz w:val="32"/>
          <w:szCs w:val="32"/>
          <w14:textFill>
            <w14:solidFill>
              <w14:schemeClr w14:val="tx1"/>
            </w14:solidFill>
          </w14:textFill>
        </w:rPr>
        <w:t>提出投诉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但根据相关文件规定，投诉内容不得超过质疑内容范围。采购人监督部门调查的确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出现影响采购公正的违法、违规行为的，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立即取消本次采购活动，并按医院有关规定进行处理。</w:t>
      </w:r>
    </w:p>
    <w:p w14:paraId="6B627416">
      <w:pPr>
        <w:pStyle w:val="4"/>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bookmarkStart w:id="36" w:name="_Toc27334"/>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7.2</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投诉受理部门：大理州第二人民医院纪委办公室；联系电话：</w:t>
      </w:r>
      <w:r>
        <w:rPr>
          <w:rFonts w:hint="default" w:ascii="Times New Roman" w:hAnsi="Times New Roman" w:eastAsia="方正仿宋_GBK" w:cs="Times New Roman"/>
          <w:b w:val="0"/>
          <w:bCs w:val="0"/>
          <w:color w:val="auto"/>
          <w:kern w:val="2"/>
          <w:sz w:val="32"/>
          <w:szCs w:val="32"/>
          <w:u w:val="none" w:color="auto"/>
          <w:lang w:val="en-US" w:eastAsia="zh-CN" w:bidi="ar-SA"/>
        </w:rPr>
        <w:t>0872-21</w:t>
      </w:r>
      <w:r>
        <w:rPr>
          <w:rFonts w:hint="eastAsia" w:ascii="Times New Roman" w:hAnsi="Times New Roman" w:cs="Times New Roman"/>
          <w:b w:val="0"/>
          <w:bCs w:val="0"/>
          <w:color w:val="auto"/>
          <w:kern w:val="2"/>
          <w:sz w:val="32"/>
          <w:szCs w:val="32"/>
          <w:u w:val="none" w:color="auto"/>
          <w:lang w:val="en-US" w:eastAsia="zh-CN" w:bidi="ar-SA"/>
        </w:rPr>
        <w:t>25752</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；地址：大理市满江街道红山路与太和路交汇处。</w:t>
      </w:r>
      <w:bookmarkEnd w:id="36"/>
    </w:p>
    <w:p w14:paraId="74B111BE">
      <w:pPr>
        <w:pStyle w:val="4"/>
        <w:bidi w:val="0"/>
        <w:ind w:firstLine="643" w:firstLineChars="200"/>
        <w:rPr>
          <w:rFonts w:hint="default" w:ascii="Times New Roman" w:hAnsi="Times New Roman" w:cs="Times New Roman"/>
          <w:lang w:eastAsia="zh-CN"/>
        </w:rPr>
      </w:pPr>
      <w:bookmarkStart w:id="37" w:name="_Toc393354831"/>
      <w:bookmarkStart w:id="38" w:name="_Toc475291684"/>
      <w:bookmarkStart w:id="39" w:name="_Toc26980"/>
      <w:bookmarkStart w:id="40" w:name="_Toc7658"/>
      <w:r>
        <w:rPr>
          <w:rFonts w:hint="default" w:ascii="Times New Roman" w:hAnsi="Times New Roman" w:cs="Times New Roman"/>
        </w:rPr>
        <w:t>二、</w:t>
      </w:r>
      <w:bookmarkEnd w:id="37"/>
      <w:bookmarkEnd w:id="38"/>
      <w:r>
        <w:rPr>
          <w:rFonts w:hint="default" w:ascii="Times New Roman" w:hAnsi="Times New Roman" w:cs="Times New Roman"/>
          <w:lang w:val="en-US" w:eastAsia="zh-CN"/>
        </w:rPr>
        <w:t>询价采购</w:t>
      </w:r>
      <w:r>
        <w:rPr>
          <w:rFonts w:hint="default" w:ascii="Times New Roman" w:hAnsi="Times New Roman" w:cs="Times New Roman"/>
          <w:lang w:eastAsia="zh-CN"/>
        </w:rPr>
        <w:t>文件</w:t>
      </w:r>
      <w:bookmarkEnd w:id="39"/>
      <w:bookmarkEnd w:id="40"/>
    </w:p>
    <w:p w14:paraId="1947C3C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8.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构成</w:t>
      </w:r>
    </w:p>
    <w:p w14:paraId="403592C3">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8.1</w:t>
      </w:r>
      <w:r>
        <w:rPr>
          <w:rFonts w:hint="default" w:ascii="Times New Roman" w:hAnsi="Times New Roman" w:eastAsia="方正仿宋_GBK" w:cs="Times New Roman"/>
          <w:color w:val="000000" w:themeColor="text1"/>
          <w:sz w:val="32"/>
          <w:szCs w:val="32"/>
          <w14:textFill>
            <w14:solidFill>
              <w14:schemeClr w14:val="tx1"/>
            </w14:solidFill>
          </w14:textFill>
        </w:rPr>
        <w:t>要求提供的货物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服务或工程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、采购过程及合同条款在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中均有说明，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共六章，各章的内容如下：</w:t>
      </w:r>
    </w:p>
    <w:p w14:paraId="6C0A0BE4">
      <w:pPr>
        <w:pageBreakBefore w:val="0"/>
        <w:kinsoku/>
        <w:wordWrap/>
        <w:overflowPunct/>
        <w:topLinePunct w:val="0"/>
        <w:autoSpaceDE/>
        <w:autoSpaceDN/>
        <w:bidi w:val="0"/>
        <w:snapToGrid/>
        <w:spacing w:line="460" w:lineRule="exact"/>
        <w:ind w:firstLine="960" w:firstLineChars="3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第一章  </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p>
    <w:p w14:paraId="14E747A6">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第二章  供应商须知</w:t>
      </w:r>
    </w:p>
    <w:p w14:paraId="2BA406F5">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第三章  合同书样式及主要条款</w:t>
      </w:r>
    </w:p>
    <w:p w14:paraId="47968680">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第四章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p w14:paraId="6FFFF659">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第五章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采购需求</w:t>
      </w:r>
    </w:p>
    <w:p w14:paraId="05D3CB3C">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第六章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w:t>
      </w:r>
      <w:r>
        <w:rPr>
          <w:rFonts w:hint="default" w:ascii="Times New Roman" w:hAnsi="Times New Roman" w:eastAsia="方正仿宋_GBK" w:cs="Times New Roman"/>
          <w:color w:val="000000" w:themeColor="text1"/>
          <w:sz w:val="32"/>
          <w:szCs w:val="32"/>
          <w14:textFill>
            <w14:solidFill>
              <w14:schemeClr w14:val="tx1"/>
            </w14:solidFill>
          </w14:textFill>
        </w:rPr>
        <w:t>方法</w:t>
      </w:r>
    </w:p>
    <w:p w14:paraId="7ED2941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w:t>
      </w:r>
    </w:p>
    <w:p w14:paraId="42CC1C43">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9.1</w:t>
      </w:r>
      <w:r>
        <w:rPr>
          <w:rFonts w:hint="default" w:ascii="Times New Roman" w:hAnsi="Times New Roman" w:eastAsia="方正仿宋_GBK" w:cs="Times New Roman"/>
          <w:color w:val="000000" w:themeColor="text1"/>
          <w:sz w:val="32"/>
          <w:szCs w:val="32"/>
          <w14:textFill>
            <w14:solidFill>
              <w14:schemeClr w14:val="tx1"/>
            </w14:solidFill>
          </w14:textFill>
        </w:rPr>
        <w:t>供应商应认真核查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，如有疑问的，供应商可以在 “</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”规定截止时间前以澄清函形式要求采购人澄清，截止时间后送达的澄清要求不予接受。</w:t>
      </w:r>
    </w:p>
    <w:p w14:paraId="054B331C">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将以书面形式答复供应商（答复中不包含问题的来源）要求澄清的问题，其他澄清方式为无效。</w:t>
      </w:r>
    </w:p>
    <w:p w14:paraId="78952A1C">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10.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的澄清或者修改</w:t>
      </w:r>
    </w:p>
    <w:p w14:paraId="36371B48">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对已发出的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进行必要澄清或者修改的，于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个工作日前，以书面形式通知供应商。该澄清或者修改的内容为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的组成部分。</w:t>
      </w:r>
    </w:p>
    <w:p w14:paraId="3812FB31">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可以视采购具体情况，延长投标截止时间和开标时间，但至少在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个工作日前，修改询价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的时间距投标截止时间不足 3 个工作日的，并且修改内容可能影响询价响应文件编制的，将相应延长投标截止时间。</w:t>
      </w:r>
    </w:p>
    <w:p w14:paraId="712D8C62">
      <w:pPr>
        <w:pStyle w:val="4"/>
        <w:bidi w:val="0"/>
        <w:ind w:firstLine="643" w:firstLineChars="200"/>
        <w:rPr>
          <w:rFonts w:hint="default" w:ascii="Times New Roman" w:hAnsi="Times New Roman" w:cs="Times New Roman"/>
        </w:rPr>
      </w:pPr>
      <w:bookmarkStart w:id="41" w:name="_Toc393354832"/>
      <w:bookmarkStart w:id="42" w:name="_Toc7129"/>
      <w:bookmarkStart w:id="43" w:name="_Toc475291685"/>
      <w:bookmarkStart w:id="44" w:name="_Toc22086"/>
      <w:r>
        <w:rPr>
          <w:rFonts w:hint="default" w:ascii="Times New Roman" w:hAnsi="Times New Roman" w:cs="Times New Roman"/>
        </w:rPr>
        <w:t>三、</w:t>
      </w:r>
      <w:r>
        <w:rPr>
          <w:rFonts w:hint="default" w:ascii="Times New Roman" w:hAnsi="Times New Roman" w:cs="Times New Roman"/>
          <w:lang w:val="en-US" w:eastAsia="zh-CN"/>
        </w:rPr>
        <w:t>询价</w:t>
      </w:r>
      <w:r>
        <w:rPr>
          <w:rFonts w:hint="default" w:ascii="Times New Roman" w:hAnsi="Times New Roman" w:cs="Times New Roman"/>
        </w:rPr>
        <w:t>响应文件</w:t>
      </w:r>
      <w:bookmarkEnd w:id="41"/>
      <w:bookmarkEnd w:id="42"/>
      <w:bookmarkEnd w:id="43"/>
      <w:bookmarkEnd w:id="44"/>
    </w:p>
    <w:p w14:paraId="6C466D03">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11.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响应文件编写注意事项</w:t>
      </w:r>
    </w:p>
    <w:p w14:paraId="095EBC7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11.1</w:t>
      </w:r>
      <w:r>
        <w:rPr>
          <w:rFonts w:hint="default" w:ascii="Times New Roman" w:hAnsi="Times New Roman" w:eastAsia="方正仿宋_GBK" w:cs="Times New Roman"/>
          <w:color w:val="000000" w:themeColor="text1"/>
          <w:sz w:val="32"/>
          <w:szCs w:val="32"/>
          <w14:textFill>
            <w14:solidFill>
              <w14:schemeClr w14:val="tx1"/>
            </w14:solidFill>
          </w14:textFill>
        </w:rPr>
        <w:t>供应商应仔细阅读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，在完全了解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和商务条件后，编写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响应文件必须响应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的实质性要求和条件。</w:t>
      </w:r>
    </w:p>
    <w:p w14:paraId="1F7975B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11.2</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提出的实质性要求和条件作出响应是指：供应商必须对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中的实质性要求和条件的内容作出满足或者优于原要求和条件的承诺，并提供相应的证明材料。</w:t>
      </w:r>
    </w:p>
    <w:p w14:paraId="5F063E22">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12.</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投标的语言及计量单位</w:t>
      </w:r>
    </w:p>
    <w:p w14:paraId="5541B290">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12.1</w:t>
      </w:r>
      <w:r>
        <w:rPr>
          <w:rFonts w:hint="default" w:ascii="Times New Roman" w:hAnsi="Times New Roman" w:eastAsia="方正仿宋_GBK" w:cs="Times New Roman"/>
          <w:color w:val="000000" w:themeColor="text1"/>
          <w:sz w:val="32"/>
          <w:szCs w:val="32"/>
          <w14:textFill>
            <w14:solidFill>
              <w14:schemeClr w14:val="tx1"/>
            </w14:solidFill>
          </w14:textFill>
        </w:rPr>
        <w:t>供应商的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响应文件以及供应商与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就有关投标的所有来往函电统一使用中文（特别规定除外）。</w:t>
      </w:r>
    </w:p>
    <w:p w14:paraId="2737EC0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响应文件中使用的计量单位除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中有特殊规定外，一律使用中国法定计量单位。</w:t>
      </w:r>
    </w:p>
    <w:p w14:paraId="6AF80469">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13.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响应文件构成</w:t>
      </w:r>
    </w:p>
    <w:p w14:paraId="6D537ADA">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13.1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询价文件组成以第四章“询价响应文件格式”为准，供应商编写的询价响应文件应按第四章“询价响应文件格式”要求填写，询价响应文件编制需有目录及对应页码。</w:t>
      </w:r>
    </w:p>
    <w:p w14:paraId="3B47C5F3">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 13.2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供应商对询价响应文件的合法性、真实性、有效性负全部责任。</w:t>
      </w:r>
    </w:p>
    <w:p w14:paraId="6E7A4AD4">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14.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响应文件的格式要求</w:t>
      </w:r>
    </w:p>
    <w:p w14:paraId="20A741E4">
      <w:pPr>
        <w:pageBreakBefore w:val="0"/>
        <w:tabs>
          <w:tab w:val="left" w:pos="3030"/>
        </w:tabs>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14.1</w:t>
      </w:r>
      <w:r>
        <w:rPr>
          <w:rFonts w:hint="default" w:ascii="Times New Roman" w:hAnsi="Times New Roman" w:eastAsia="方正仿宋_GBK" w:cs="Times New Roman"/>
          <w:color w:val="000000" w:themeColor="text1"/>
          <w:sz w:val="32"/>
          <w:szCs w:val="32"/>
          <w14:textFill>
            <w14:solidFill>
              <w14:schemeClr w14:val="tx1"/>
            </w14:solidFill>
          </w14:textFill>
        </w:rPr>
        <w:t>供应商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应统一</w:t>
      </w: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提供的格式完整地填写。有关文件的提交如未特别注明需提供原件的，可提供扫描件。</w:t>
      </w:r>
    </w:p>
    <w:p w14:paraId="3BF89092">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 投标报价</w:t>
      </w:r>
    </w:p>
    <w:p w14:paraId="564395D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投标</w:t>
      </w:r>
      <w:r>
        <w:rPr>
          <w:rFonts w:hint="default" w:ascii="Times New Roman" w:hAnsi="Times New Roman" w:eastAsia="方正仿宋_GBK" w:cs="Times New Roman"/>
          <w:color w:val="000000" w:themeColor="text1"/>
          <w:sz w:val="32"/>
          <w:szCs w:val="32"/>
          <w14:textFill>
            <w14:solidFill>
              <w14:schemeClr w14:val="tx1"/>
            </w14:solidFill>
          </w14:textFill>
        </w:rPr>
        <w:t>报价是指完成本项目所需的各种费用及必要的保险费用和各项税金等所有费用的总和。</w:t>
      </w:r>
    </w:p>
    <w:p w14:paraId="703C2356">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供应商须就“第五章 采购需求”中的所投包货物（服务）内容作完整唯一报价；</w:t>
      </w:r>
    </w:p>
    <w:p w14:paraId="442CE2B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供应商应依据询价采购文件的要求及有关资料，按国家或行业现行技术经济标准、定额及规范，自行测算出满足采购要求的投标货物（服务）的报价。报价应符合国内行情并能保证供应 商完成履行合同所需的一切工作。</w:t>
      </w:r>
    </w:p>
    <w:p w14:paraId="2359252B">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中标后，因实施本项目所引起的一切费用视为已包含在报价中，采购人将不再做任何调整。</w:t>
      </w:r>
    </w:p>
    <w:p w14:paraId="68CD5D96">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15.5同一标的物只允许有一个报价，否则将被视为无效报价。</w:t>
      </w:r>
    </w:p>
    <w:p w14:paraId="5F95772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16. </w:t>
      </w:r>
      <w:r>
        <w:rPr>
          <w:rFonts w:hint="default" w:ascii="Times New Roman" w:hAnsi="Times New Roman" w:eastAsia="方正仿宋_GBK" w:cs="Times New Roman"/>
          <w:b/>
          <w:color w:val="000000" w:themeColor="text1"/>
          <w:sz w:val="32"/>
          <w:szCs w:val="32"/>
          <w14:textFill>
            <w14:solidFill>
              <w14:schemeClr w14:val="tx1"/>
            </w14:solidFill>
          </w14:textFill>
        </w:rPr>
        <w:t>投标货币</w:t>
      </w:r>
    </w:p>
    <w:p w14:paraId="03C60A5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16.1投标以人民币报价。</w:t>
      </w:r>
    </w:p>
    <w:p w14:paraId="61A3F850">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17.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响应文件有效期</w:t>
      </w:r>
    </w:p>
    <w:p w14:paraId="5C30DD36">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17.1</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”规定的投标有效期内，供应商不得要求撤销或修改其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14:paraId="487F2A5D">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17.2</w:t>
      </w:r>
      <w:r>
        <w:rPr>
          <w:rFonts w:hint="default" w:ascii="Times New Roman" w:hAnsi="Times New Roman" w:eastAsia="方正仿宋_GBK" w:cs="Times New Roman"/>
          <w:color w:val="000000" w:themeColor="text1"/>
          <w:sz w:val="32"/>
          <w:szCs w:val="32"/>
          <w14:textFill>
            <w14:solidFill>
              <w14:schemeClr w14:val="tx1"/>
            </w14:solidFill>
          </w14:textFill>
        </w:rPr>
        <w:t>在特殊情况需要延长投标有效期的，采购人以书面形式通知供应商延长投标有效期。供应商同意延长的，但不得要求或被允许修改或撤销其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响应文件；供应商拒绝延长的，其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响应文件失效。</w:t>
      </w:r>
    </w:p>
    <w:p w14:paraId="01BA8305">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18.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响应文件的编制</w:t>
      </w:r>
    </w:p>
    <w:p w14:paraId="4FB5DE2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要求填写。有关文件的提交如未特别注明需提供原件的，可提供扫描件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26312868">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响应文件应尽量避免涂改、行间插字或删除。如果出现上述情况，改动之处应加盖公章或由供应商的法定代表人或其委托代理人签字确认。</w:t>
      </w:r>
    </w:p>
    <w:p w14:paraId="37A458E3">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关键内容字迹潦草、表达不清、未按要求填写而导致非唯一理解，视为未实质性响应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14:paraId="3D5BAD94">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响应文件中提</w:t>
      </w:r>
      <w:r>
        <w:rPr>
          <w:rFonts w:hint="default" w:ascii="Times New Roman" w:hAnsi="Times New Roman" w:eastAsia="方正仿宋_GBK" w:cs="Times New Roman"/>
          <w:bCs/>
          <w:color w:val="000000" w:themeColor="text1"/>
          <w:sz w:val="32"/>
          <w:szCs w:val="32"/>
          <w14:textFill>
            <w14:solidFill>
              <w14:schemeClr w14:val="tx1"/>
            </w14:solidFill>
          </w14:textFill>
        </w:rPr>
        <w:t>供的资料（包括扫描件），内容必须清晰可辨，若内容模糊，无法辨识，均视为未提供。</w:t>
      </w:r>
    </w:p>
    <w:p w14:paraId="0C6D706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响应文件应由法定代表人或其委托代理人</w:t>
      </w:r>
      <w:r>
        <w:rPr>
          <w:rFonts w:hint="default" w:ascii="Times New Roman" w:hAnsi="Times New Roman" w:eastAsia="方正仿宋_GBK" w:cs="Times New Roman"/>
          <w:b/>
          <w:bCs/>
          <w:color w:val="000000" w:themeColor="text1"/>
          <w:sz w:val="32"/>
          <w:szCs w:val="32"/>
          <w14:textFill>
            <w14:solidFill>
              <w14:schemeClr w14:val="tx1"/>
            </w14:solidFill>
          </w14:textFill>
        </w:rPr>
        <w:t>在规定签字盖章处逐一签字盖章，要求盖章处应盖单位公章</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51018334">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19.</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投标保证金</w:t>
      </w:r>
    </w:p>
    <w:p w14:paraId="53491855">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19.1</w:t>
      </w:r>
      <w:r>
        <w:rPr>
          <w:rFonts w:hint="default" w:ascii="Times New Roman" w:hAnsi="Times New Roman" w:eastAsia="方正仿宋_GBK" w:cs="Times New Roman"/>
          <w:color w:val="000000" w:themeColor="text1"/>
          <w:sz w:val="32"/>
          <w:szCs w:val="32"/>
          <w14:textFill>
            <w14:solidFill>
              <w14:schemeClr w14:val="tx1"/>
            </w14:solidFill>
          </w14:textFill>
        </w:rPr>
        <w:t>投标保证金：本项目无需提交投标保证金。</w:t>
      </w:r>
    </w:p>
    <w:p w14:paraId="651623AE">
      <w:pPr>
        <w:pStyle w:val="4"/>
        <w:bidi w:val="0"/>
        <w:ind w:firstLine="643" w:firstLineChars="200"/>
        <w:rPr>
          <w:rFonts w:hint="default" w:ascii="Times New Roman" w:hAnsi="Times New Roman" w:cs="Times New Roman"/>
        </w:rPr>
      </w:pPr>
      <w:bookmarkStart w:id="45" w:name="_Toc475291686"/>
      <w:bookmarkStart w:id="46" w:name="_Toc3914"/>
      <w:bookmarkStart w:id="47" w:name="_Toc393354833"/>
      <w:bookmarkStart w:id="48" w:name="_Toc13131"/>
      <w:r>
        <w:rPr>
          <w:rFonts w:hint="default" w:ascii="Times New Roman" w:hAnsi="Times New Roman" w:cs="Times New Roman"/>
        </w:rPr>
        <w:t>四、</w:t>
      </w:r>
      <w:r>
        <w:rPr>
          <w:rFonts w:hint="default" w:ascii="Times New Roman" w:hAnsi="Times New Roman" w:cs="Times New Roman"/>
          <w:lang w:val="en-US" w:eastAsia="zh-CN"/>
        </w:rPr>
        <w:t>询价</w:t>
      </w:r>
      <w:r>
        <w:rPr>
          <w:rFonts w:hint="default" w:ascii="Times New Roman" w:hAnsi="Times New Roman" w:cs="Times New Roman"/>
        </w:rPr>
        <w:t>响应文件的提交</w:t>
      </w:r>
      <w:bookmarkEnd w:id="45"/>
      <w:bookmarkEnd w:id="46"/>
      <w:bookmarkEnd w:id="47"/>
      <w:bookmarkEnd w:id="48"/>
    </w:p>
    <w:p w14:paraId="7012F6A2">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20.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响应文件的密封与标记</w:t>
      </w:r>
    </w:p>
    <w:p w14:paraId="07FD583C">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20.1</w:t>
      </w:r>
      <w:r>
        <w:rPr>
          <w:rFonts w:hint="default" w:ascii="Times New Roman" w:hAnsi="Times New Roman" w:eastAsia="方正仿宋_GBK" w:cs="Times New Roman"/>
          <w:bCs/>
          <w:color w:val="000000" w:themeColor="text1"/>
          <w:sz w:val="32"/>
          <w:szCs w:val="32"/>
          <w14:textFill>
            <w14:solidFill>
              <w14:schemeClr w14:val="tx1"/>
            </w14:solidFill>
          </w14:textFill>
        </w:rPr>
        <w:t>供应商应按“</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bCs/>
          <w:color w:val="000000" w:themeColor="text1"/>
          <w:sz w:val="32"/>
          <w:szCs w:val="32"/>
          <w14:textFill>
            <w14:solidFill>
              <w14:schemeClr w14:val="tx1"/>
            </w14:solidFill>
          </w14:textFill>
        </w:rPr>
        <w:t>”中规定的正本和副本的数量提交响应文件。</w:t>
      </w:r>
    </w:p>
    <w:p w14:paraId="31504755">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w:t>
      </w:r>
      <w:r>
        <w:rPr>
          <w:rFonts w:hint="default" w:ascii="Times New Roman" w:hAnsi="Times New Roman" w:eastAsia="方正仿宋_GBK" w:cs="Times New Roman"/>
          <w:b/>
          <w:bCs/>
          <w:color w:val="FF0000"/>
          <w:sz w:val="32"/>
          <w:szCs w:val="32"/>
        </w:rPr>
        <w:t>供应商应将正、副本文件加以密封，并在封贴处盖密封章（或单位章）</w:t>
      </w:r>
      <w:r>
        <w:rPr>
          <w:rFonts w:hint="default" w:ascii="Times New Roman" w:hAnsi="Times New Roman" w:eastAsia="方正仿宋_GBK" w:cs="Times New Roman"/>
          <w:b/>
          <w:bCs/>
          <w:color w:val="FF0000"/>
          <w:sz w:val="32"/>
          <w:szCs w:val="32"/>
          <w:lang w:eastAsia="zh-CN"/>
        </w:rPr>
        <w:t>，</w:t>
      </w:r>
      <w:r>
        <w:rPr>
          <w:rFonts w:hint="default" w:ascii="Times New Roman" w:hAnsi="Times New Roman" w:eastAsia="方正仿宋_GBK" w:cs="Times New Roman"/>
          <w:b/>
          <w:bCs/>
          <w:color w:val="FF0000"/>
          <w:sz w:val="32"/>
          <w:szCs w:val="32"/>
        </w:rPr>
        <w:t>未按</w:t>
      </w:r>
      <w:r>
        <w:rPr>
          <w:rFonts w:hint="default" w:ascii="Times New Roman" w:hAnsi="Times New Roman" w:eastAsia="方正仿宋_GBK" w:cs="Times New Roman"/>
          <w:b/>
          <w:bCs/>
          <w:color w:val="FF0000"/>
          <w:sz w:val="32"/>
          <w:szCs w:val="32"/>
          <w:lang w:val="en-US" w:eastAsia="zh-CN"/>
        </w:rPr>
        <w:t>询价</w:t>
      </w:r>
      <w:r>
        <w:rPr>
          <w:rFonts w:hint="default" w:ascii="Times New Roman" w:hAnsi="Times New Roman" w:eastAsia="方正仿宋_GBK" w:cs="Times New Roman"/>
          <w:b/>
          <w:bCs/>
          <w:color w:val="FF0000"/>
          <w:sz w:val="32"/>
          <w:szCs w:val="32"/>
          <w:lang w:eastAsia="zh-CN"/>
        </w:rPr>
        <w:t>采购文件</w:t>
      </w:r>
      <w:r>
        <w:rPr>
          <w:rFonts w:hint="default" w:ascii="Times New Roman" w:hAnsi="Times New Roman" w:eastAsia="方正仿宋_GBK" w:cs="Times New Roman"/>
          <w:b/>
          <w:bCs/>
          <w:color w:val="FF0000"/>
          <w:sz w:val="32"/>
          <w:szCs w:val="32"/>
        </w:rPr>
        <w:t>要求密封并在封贴处盖章或密封不完好的，采购人按无效投标不予接收。</w:t>
      </w:r>
    </w:p>
    <w:p w14:paraId="0B8C442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响应文件袋的封面应注明项目名称、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、供应商名称、详细通讯地址、邮政编码。</w:t>
      </w:r>
    </w:p>
    <w:p w14:paraId="64EE7A30">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供应商在投标截止时间前，可以对所递交的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响应文件进行补充、修改。补充、修改的内容应当按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要求签署、盖章，并作为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响应文件的组成部分。</w:t>
      </w:r>
    </w:p>
    <w:p w14:paraId="53914DBD">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截止时间后，所收到的询价响应文件无论成交与否概不退还。</w:t>
      </w:r>
    </w:p>
    <w:p w14:paraId="5F3516B3">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21. </w:t>
      </w:r>
      <w:r>
        <w:rPr>
          <w:rFonts w:hint="default" w:ascii="Times New Roman" w:hAnsi="Times New Roman" w:eastAsia="方正仿宋_GBK" w:cs="Times New Roman"/>
          <w:b/>
          <w:color w:val="000000" w:themeColor="text1"/>
          <w:sz w:val="32"/>
          <w:szCs w:val="32"/>
          <w14:textFill>
            <w14:solidFill>
              <w14:schemeClr w14:val="tx1"/>
            </w14:solidFill>
          </w14:textFill>
        </w:rPr>
        <w:t>提交</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响应文件截止时间和地点</w:t>
      </w:r>
    </w:p>
    <w:p w14:paraId="2FFB3A06">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响应文件的提交不得迟于“</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响应文件截止时间。逾期送达的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响应文件，采购人不予接收。</w:t>
      </w:r>
    </w:p>
    <w:p w14:paraId="26DB7574">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21.2</w:t>
      </w:r>
      <w:r>
        <w:rPr>
          <w:rFonts w:hint="default" w:ascii="Times New Roman" w:hAnsi="Times New Roman" w:eastAsia="方正仿宋_GBK" w:cs="Times New Roman"/>
          <w:color w:val="000000" w:themeColor="text1"/>
          <w:sz w:val="32"/>
          <w:szCs w:val="32"/>
          <w14:textFill>
            <w14:solidFill>
              <w14:schemeClr w14:val="tx1"/>
            </w14:solidFill>
          </w14:textFill>
        </w:rPr>
        <w:t>供应商必须在规定时间内将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响应文件提交到“</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”规定的地点。</w:t>
      </w:r>
    </w:p>
    <w:p w14:paraId="65D0B01B">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21.3</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除“</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”另有规定外，供应商所递交的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响应文件不予退还。</w:t>
      </w:r>
    </w:p>
    <w:p w14:paraId="6C998455">
      <w:pPr>
        <w:pStyle w:val="4"/>
        <w:bidi w:val="0"/>
        <w:ind w:firstLine="643" w:firstLineChars="200"/>
        <w:rPr>
          <w:rFonts w:hint="default" w:ascii="Times New Roman" w:hAnsi="Times New Roman" w:cs="Times New Roman"/>
        </w:rPr>
      </w:pPr>
      <w:bookmarkStart w:id="49" w:name="_Toc22436"/>
      <w:bookmarkStart w:id="50" w:name="_Toc475291687"/>
      <w:bookmarkStart w:id="51" w:name="_Toc393354834"/>
      <w:bookmarkStart w:id="52" w:name="_Toc20283"/>
      <w:r>
        <w:rPr>
          <w:rFonts w:hint="default" w:ascii="Times New Roman" w:hAnsi="Times New Roman" w:cs="Times New Roman"/>
        </w:rPr>
        <w:t>五、开标与评标</w:t>
      </w:r>
      <w:bookmarkEnd w:id="49"/>
      <w:bookmarkEnd w:id="50"/>
      <w:bookmarkEnd w:id="51"/>
      <w:bookmarkEnd w:id="52"/>
    </w:p>
    <w:p w14:paraId="1B0699A2">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22. </w:t>
      </w:r>
      <w:r>
        <w:rPr>
          <w:rFonts w:hint="default" w:ascii="Times New Roman" w:hAnsi="Times New Roman" w:eastAsia="方正仿宋_GBK" w:cs="Times New Roman"/>
          <w:b/>
          <w:color w:val="000000" w:themeColor="text1"/>
          <w:sz w:val="32"/>
          <w:szCs w:val="32"/>
          <w14:textFill>
            <w14:solidFill>
              <w14:schemeClr w14:val="tx1"/>
            </w14:solidFill>
          </w14:textFill>
        </w:rPr>
        <w:t>开标</w:t>
      </w:r>
    </w:p>
    <w:p w14:paraId="72A50229">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将在“</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”规定的时间和地点进行开标，供应商的法定代表人或其委托代理人应参加开标会，</w:t>
      </w:r>
      <w:r>
        <w:rPr>
          <w:rFonts w:hint="default" w:ascii="Times New Roman" w:hAnsi="Times New Roman" w:eastAsia="方正仿宋_GBK" w:cs="Times New Roman"/>
          <w:bCs/>
          <w:color w:val="000000" w:themeColor="text1"/>
          <w:sz w:val="32"/>
          <w:szCs w:val="32"/>
          <w14:textFill>
            <w14:solidFill>
              <w14:schemeClr w14:val="tx1"/>
            </w14:solidFill>
          </w14:textFill>
        </w:rPr>
        <w:t>如供应商代表未出席开标会，视为其默认现场唱标结果，由此产生的后果由供应商自行负责</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79336E8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22.2</w:t>
      </w:r>
      <w:r>
        <w:rPr>
          <w:rFonts w:hint="default" w:ascii="Times New Roman" w:hAnsi="Times New Roman" w:eastAsia="方正仿宋_GBK" w:cs="Times New Roman"/>
          <w:color w:val="000000" w:themeColor="text1"/>
          <w:sz w:val="32"/>
          <w:szCs w:val="32"/>
          <w14:textFill>
            <w14:solidFill>
              <w14:schemeClr w14:val="tx1"/>
            </w14:solidFill>
          </w14:textFill>
        </w:rPr>
        <w:t>开标程序：</w:t>
      </w:r>
    </w:p>
    <w:p w14:paraId="2E447949">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（1）开标会由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主持，主持人宣布开标会议开始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并介绍项目基本情况</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2624D9D1">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主持人宣读开标（评标）纪律</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0B013768">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（3）介绍参加开标会的人员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后询问采购人或投标人是否需要回避情形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16CF80F2">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14:paraId="4606C4C9">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（5）签订投标人廉政承诺书；</w:t>
      </w:r>
    </w:p>
    <w:p w14:paraId="68D7362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（6）监督人员检验询价响应文件密封性；</w:t>
      </w:r>
    </w:p>
    <w:p w14:paraId="671C440A">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（7）唱标：公布供</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应商名称、投标报价及其他内容，记录在案</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w:t>
      </w:r>
    </w:p>
    <w:p w14:paraId="70531DF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（8）宣布评标期间的有关事项；</w:t>
      </w:r>
    </w:p>
    <w:p w14:paraId="66E9F8C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（9）开标会议结束。</w:t>
      </w:r>
    </w:p>
    <w:p w14:paraId="2859D6E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22.3</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开标工作人员将做开标记录，供应商对唱标结果签字确认。</w:t>
      </w:r>
    </w:p>
    <w:p w14:paraId="2564D22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22.4</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供应商对开标有异议的，应当在开标现场提出，采购人应当当场作出答复，并制作记录。</w:t>
      </w:r>
    </w:p>
    <w:p w14:paraId="2E1593EA">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23. </w:t>
      </w:r>
      <w:r>
        <w:rPr>
          <w:rFonts w:hint="default" w:ascii="Times New Roman" w:hAnsi="Times New Roman" w:eastAsia="方正仿宋_GBK" w:cs="Times New Roman"/>
          <w:b/>
          <w:color w:val="000000" w:themeColor="text1"/>
          <w:sz w:val="32"/>
          <w:szCs w:val="32"/>
          <w14:textFill>
            <w14:solidFill>
              <w14:schemeClr w14:val="tx1"/>
            </w14:solidFill>
          </w14:textFill>
        </w:rPr>
        <w:t>评标</w:t>
      </w:r>
    </w:p>
    <w:p w14:paraId="78A27EB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23.1由采购人依法组建的</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小组负责。</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小组由采购人</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使用部门、归口管理部门、财务部门等</w:t>
      </w:r>
      <w:r>
        <w:rPr>
          <w:rFonts w:hint="default" w:ascii="Times New Roman" w:hAnsi="Times New Roman" w:eastAsia="方正仿宋_GBK" w:cs="Times New Roman"/>
          <w:b w:val="0"/>
          <w:bCs/>
          <w:color w:val="000000" w:themeColor="text1"/>
          <w:sz w:val="32"/>
          <w:szCs w:val="32"/>
          <w14:textFill>
            <w14:solidFill>
              <w14:schemeClr w14:val="tx1"/>
            </w14:solidFill>
          </w14:textFill>
        </w:rPr>
        <w:t>组成，成员人数应当为3人以上单数。</w:t>
      </w:r>
    </w:p>
    <w:p w14:paraId="7D597FF5">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bookmarkStart w:id="53" w:name="_Toc191374422"/>
      <w:r>
        <w:rPr>
          <w:rFonts w:hint="default" w:ascii="Times New Roman" w:hAnsi="Times New Roman" w:eastAsia="方正仿宋_GBK" w:cs="Times New Roman"/>
          <w:b w:val="0"/>
          <w:bCs/>
          <w:color w:val="000000" w:themeColor="text1"/>
          <w:sz w:val="32"/>
          <w:szCs w:val="32"/>
          <w14:textFill>
            <w14:solidFill>
              <w14:schemeClr w14:val="tx1"/>
            </w14:solidFill>
          </w14:textFill>
        </w:rPr>
        <w:t>23.2</w:t>
      </w:r>
      <w:r>
        <w:rPr>
          <w:rFonts w:hint="default" w:ascii="Times New Roman" w:hAnsi="Times New Roman" w:eastAsia="方正仿宋_GBK" w:cs="Times New Roman"/>
          <w:bCs/>
          <w:color w:val="000000" w:themeColor="text1"/>
          <w:sz w:val="32"/>
          <w:szCs w:val="32"/>
          <w14:textFill>
            <w14:solidFill>
              <w14:schemeClr w14:val="tx1"/>
            </w14:solidFill>
          </w14:textFill>
        </w:rPr>
        <w:t>评标原则</w:t>
      </w:r>
      <w:bookmarkEnd w:id="53"/>
      <w:r>
        <w:rPr>
          <w:rFonts w:hint="default" w:ascii="Times New Roman" w:hAnsi="Times New Roman" w:eastAsia="方正仿宋_GBK" w:cs="Times New Roman"/>
          <w:bCs/>
          <w:color w:val="000000" w:themeColor="text1"/>
          <w:sz w:val="32"/>
          <w:szCs w:val="32"/>
          <w14:textFill>
            <w14:solidFill>
              <w14:schemeClr w14:val="tx1"/>
            </w14:solidFill>
          </w14:textFill>
        </w:rPr>
        <w:t>及方法</w:t>
      </w:r>
    </w:p>
    <w:p w14:paraId="642317DE">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23.2.1</w:t>
      </w:r>
      <w:r>
        <w:rPr>
          <w:rFonts w:hint="default" w:ascii="Times New Roman" w:hAnsi="Times New Roman" w:eastAsia="方正仿宋_GBK" w:cs="Times New Roman"/>
          <w:color w:val="000000" w:themeColor="text1"/>
          <w:sz w:val="32"/>
          <w:szCs w:val="32"/>
          <w14:textFill>
            <w14:solidFill>
              <w14:schemeClr w14:val="tx1"/>
            </w14:solidFill>
          </w14:textFill>
        </w:rPr>
        <w:t>评标原则</w:t>
      </w:r>
    </w:p>
    <w:p w14:paraId="6FF9F01E">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评标应遵循下列原则：</w:t>
      </w:r>
    </w:p>
    <w:p w14:paraId="3884AC1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坚持公平、公正、科学、择优的原则，本着实事求是的精神，不带有任何主观意愿和偏见，认真负责地做好评标工作，公平、公正地对待每一个供应商。</w:t>
      </w:r>
    </w:p>
    <w:p w14:paraId="1A9A34BC">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全面分析，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详细</w:t>
      </w:r>
      <w:r>
        <w:rPr>
          <w:rFonts w:hint="default" w:ascii="Times New Roman" w:hAnsi="Times New Roman" w:eastAsia="方正仿宋_GBK" w:cs="Times New Roman"/>
          <w:color w:val="000000" w:themeColor="text1"/>
          <w:sz w:val="32"/>
          <w:szCs w:val="32"/>
          <w14:textFill>
            <w14:solidFill>
              <w14:schemeClr w14:val="tx1"/>
            </w14:solidFill>
          </w14:textFill>
        </w:rPr>
        <w:t>评审。</w:t>
      </w:r>
    </w:p>
    <w:p w14:paraId="482DBF49">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23.2.2</w:t>
      </w:r>
      <w:r>
        <w:rPr>
          <w:rFonts w:hint="default" w:ascii="Times New Roman" w:hAnsi="Times New Roman" w:eastAsia="方正仿宋_GBK" w:cs="Times New Roman"/>
          <w:color w:val="000000" w:themeColor="text1"/>
          <w:sz w:val="32"/>
          <w:szCs w:val="32"/>
          <w14:textFill>
            <w14:solidFill>
              <w14:schemeClr w14:val="tx1"/>
            </w14:solidFill>
          </w14:textFill>
        </w:rPr>
        <w:t>评标纪律</w:t>
      </w:r>
    </w:p>
    <w:p w14:paraId="0308695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1.对评标内容和评标过程要严格保密，不得向供应商或与该过程无关的其它人员泄露；</w:t>
      </w:r>
    </w:p>
    <w:p w14:paraId="3DDE0368">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2.评标期间的一切资料，包括评标意见、评标记录和评标结论，一律不得向外传和泄露；</w:t>
      </w:r>
    </w:p>
    <w:p w14:paraId="0FF66851">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3.任何属于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响应文件审查、澄清、评价和比较的资料，不得向供应商或与该过程无关的其它人员泄露；</w:t>
      </w:r>
    </w:p>
    <w:p w14:paraId="1B11A0D2">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4.所有资料（包括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响应文件、评标表格及各种文字记录）在评标结束后均应分别整理、存档备查，任何人不得复制和保留；</w:t>
      </w:r>
    </w:p>
    <w:p w14:paraId="3F510DB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评标结束后，与会人员不得向外界透露评标人员的评标意见，如因此造成的后果由责任者承担；</w:t>
      </w:r>
    </w:p>
    <w:p w14:paraId="456434C3">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评标期间，评标人员不得外出，确需外出时应事先请假；</w:t>
      </w:r>
    </w:p>
    <w:p w14:paraId="33950945">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评标期间，所有与会人员均不得私自以任何方式和供应商进行联系，需询问、澄清的问题由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询价小组</w:t>
      </w:r>
      <w:r>
        <w:rPr>
          <w:rFonts w:hint="default" w:ascii="Times New Roman" w:hAnsi="Times New Roman" w:eastAsia="方正仿宋_GBK" w:cs="Times New Roman"/>
          <w:color w:val="000000" w:themeColor="text1"/>
          <w:sz w:val="32"/>
          <w:szCs w:val="32"/>
          <w14:textFill>
            <w14:solidFill>
              <w14:schemeClr w14:val="tx1"/>
            </w14:solidFill>
          </w14:textFill>
        </w:rPr>
        <w:t>统一组织办理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5CB74719">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23.2.3</w:t>
      </w:r>
      <w:r>
        <w:rPr>
          <w:rFonts w:hint="default" w:ascii="Times New Roman" w:hAnsi="Times New Roman" w:eastAsia="方正仿宋_GBK" w:cs="Times New Roman"/>
          <w:color w:val="000000" w:themeColor="text1"/>
          <w:sz w:val="32"/>
          <w:szCs w:val="32"/>
          <w14:textFill>
            <w14:solidFill>
              <w14:schemeClr w14:val="tx1"/>
            </w14:solidFill>
          </w14:textFill>
        </w:rPr>
        <w:t>评标程序</w:t>
      </w:r>
    </w:p>
    <w:p w14:paraId="7125998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响应文件进行评审。评标按：资格审查→符合性评审→详细评审→评标报告的程序进行。</w:t>
      </w:r>
    </w:p>
    <w:p w14:paraId="5FC3D3A3">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23.3</w:t>
      </w:r>
      <w:r>
        <w:rPr>
          <w:rFonts w:hint="default" w:ascii="Times New Roman" w:hAnsi="Times New Roman" w:eastAsia="方正仿宋_GBK" w:cs="Times New Roman"/>
          <w:b/>
          <w:bCs/>
          <w:color w:val="000000" w:themeColor="text1"/>
          <w:sz w:val="32"/>
          <w:szCs w:val="32"/>
          <w14:textFill>
            <w14:solidFill>
              <w14:schemeClr w14:val="tx1"/>
            </w14:solidFill>
          </w14:textFill>
        </w:rPr>
        <w:t>评标方法，详见第六章《</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评</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审</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方法</w:t>
      </w:r>
      <w:r>
        <w:rPr>
          <w:rFonts w:hint="default" w:ascii="Times New Roman" w:hAnsi="Times New Roman" w:eastAsia="方正仿宋_GBK" w:cs="Times New Roman"/>
          <w:b/>
          <w:bCs/>
          <w:color w:val="000000" w:themeColor="text1"/>
          <w:sz w:val="32"/>
          <w:szCs w:val="32"/>
          <w14:textFill>
            <w14:solidFill>
              <w14:schemeClr w14:val="tx1"/>
            </w14:solidFill>
          </w14:textFill>
        </w:rPr>
        <w:t>》。</w:t>
      </w:r>
    </w:p>
    <w:p w14:paraId="7B14164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评标应当在严格保密的情况下进行。任何单位和个人不得非法干预、影响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诱导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的确定，以及评标过程和结果。</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小组成员和与评标活动有关的人员在采购活动中应严格遵守采购评审工作纪律，不得向外界泄露评审情况。</w:t>
      </w:r>
    </w:p>
    <w:p w14:paraId="0A0582C4">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b/>
          <w:color w:val="000000" w:themeColor="text1"/>
          <w:sz w:val="32"/>
          <w:szCs w:val="32"/>
          <w14:textFill>
            <w14:solidFill>
              <w14:schemeClr w14:val="tx1"/>
            </w14:solidFill>
          </w14:textFill>
        </w:rPr>
        <w:t>在采购中，出现下列情形之一的，应予废标：</w:t>
      </w:r>
    </w:p>
    <w:p w14:paraId="3B273AC4">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bCs/>
          <w:sz w:val="32"/>
          <w:szCs w:val="32"/>
          <w:lang w:val="en-US" w:eastAsia="zh-CN"/>
        </w:rPr>
        <w:t>响应文件递交不足</w:t>
      </w:r>
      <w:r>
        <w:rPr>
          <w:rFonts w:hint="eastAsia"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lang w:val="en-US" w:eastAsia="zh-CN"/>
        </w:rPr>
        <w:t>家或资格审查不足</w:t>
      </w:r>
      <w:r>
        <w:rPr>
          <w:rFonts w:hint="eastAsia"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lang w:val="en-US" w:eastAsia="zh-CN"/>
        </w:rPr>
        <w:t>家的；</w:t>
      </w:r>
    </w:p>
    <w:p w14:paraId="5B26C964">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rPr>
        <w:t>(</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w:t>
      </w:r>
      <w:r>
        <w:rPr>
          <w:rFonts w:hint="eastAsia" w:ascii="Times New Roman" w:hAnsi="Times New Roman" w:cs="Times New Roman"/>
          <w:bCs/>
          <w:sz w:val="32"/>
          <w:szCs w:val="32"/>
          <w:lang w:val="en-US" w:eastAsia="zh-CN"/>
        </w:rPr>
        <w:t>符合性审查或实质性响应不足2家的；</w:t>
      </w:r>
    </w:p>
    <w:p w14:paraId="6B8C3346">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eastAsia" w:ascii="Times New Roman" w:hAnsi="Times New Roman" w:cs="Times New Roman"/>
          <w:bCs/>
          <w:sz w:val="32"/>
          <w:szCs w:val="32"/>
          <w:lang w:val="en-US" w:eastAsia="zh-CN"/>
        </w:rPr>
        <w:t>3</w:t>
      </w:r>
      <w:r>
        <w:rPr>
          <w:rFonts w:hint="default" w:ascii="Times New Roman" w:hAnsi="Times New Roman" w:eastAsia="方正仿宋_GBK" w:cs="Times New Roman"/>
          <w:bCs/>
          <w:sz w:val="32"/>
          <w:szCs w:val="32"/>
        </w:rPr>
        <w:t>)出现影响采购公正的违法、违规行为的；</w:t>
      </w:r>
    </w:p>
    <w:p w14:paraId="51C18F48">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)供应商的报价</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rPr>
        <w:t>超过了采购预算</w:t>
      </w:r>
      <w:r>
        <w:rPr>
          <w:rFonts w:hint="default" w:ascii="Times New Roman" w:hAnsi="Times New Roman" w:eastAsia="方正仿宋_GBK" w:cs="Times New Roman"/>
          <w:sz w:val="32"/>
          <w:szCs w:val="32"/>
          <w:lang w:val="en-US" w:eastAsia="zh-CN"/>
        </w:rPr>
        <w:t>或最高限价</w:t>
      </w:r>
      <w:r>
        <w:rPr>
          <w:rFonts w:hint="default" w:ascii="Times New Roman" w:hAnsi="Times New Roman" w:eastAsia="方正仿宋_GBK" w:cs="Times New Roman"/>
          <w:sz w:val="32"/>
          <w:szCs w:val="32"/>
        </w:rPr>
        <w:t>，采购人不能支付的；</w:t>
      </w:r>
    </w:p>
    <w:p w14:paraId="52B79059">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)因重大变故，采购任务取消的。</w:t>
      </w:r>
    </w:p>
    <w:p w14:paraId="336EC3BE">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废标后，采购人应当将废标理由通知所有供应商。</w:t>
      </w:r>
    </w:p>
    <w:p w14:paraId="54E2D997">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纪律和监督</w:t>
      </w:r>
    </w:p>
    <w:p w14:paraId="505B807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采购人不得泄露采购活动中应当保密的情况和资料，不得与供应商串通损害国家利益、社会公共利益或者他人合法权益。</w:t>
      </w:r>
    </w:p>
    <w:p w14:paraId="1626219E">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供应商不得相互串通或者与采购人串通，不得向采购人或者询价小组行贿谋取成交，不得以他人名义谈判或者以其他方式弄虚作假骗取成交；供应商不得以任何方式干扰、诱导、影响谈判工作。</w:t>
      </w:r>
    </w:p>
    <w:p w14:paraId="1ED7E993">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采购人不得向投标人索要或者接受其给予的赠品、回扣或者与采购无关的其他商品、服务。</w:t>
      </w:r>
    </w:p>
    <w:p w14:paraId="16C1B76F">
      <w:pPr>
        <w:pStyle w:val="4"/>
        <w:bidi w:val="0"/>
        <w:ind w:firstLine="643" w:firstLineChars="200"/>
        <w:rPr>
          <w:rFonts w:hint="default" w:ascii="Times New Roman" w:hAnsi="Times New Roman" w:cs="Times New Roman"/>
        </w:rPr>
      </w:pPr>
      <w:bookmarkStart w:id="54" w:name="_Toc3919"/>
      <w:bookmarkStart w:id="55" w:name="_Toc475291688"/>
      <w:bookmarkStart w:id="56" w:name="_Toc20623"/>
      <w:bookmarkStart w:id="57" w:name="_Toc393354835"/>
      <w:r>
        <w:rPr>
          <w:rFonts w:hint="default" w:ascii="Times New Roman" w:hAnsi="Times New Roman" w:cs="Times New Roman"/>
        </w:rPr>
        <w:t>六、成交结果</w:t>
      </w:r>
      <w:bookmarkEnd w:id="54"/>
      <w:bookmarkEnd w:id="55"/>
      <w:bookmarkEnd w:id="56"/>
      <w:bookmarkEnd w:id="57"/>
    </w:p>
    <w:p w14:paraId="6AC0EF7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14:textFill>
            <w14:solidFill>
              <w14:schemeClr w14:val="tx1"/>
            </w14:solidFill>
          </w14:textFill>
        </w:rPr>
        <w:t>成交供应商的确定</w:t>
      </w:r>
    </w:p>
    <w:p w14:paraId="7676EED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26.1</w:t>
      </w:r>
      <w:r>
        <w:rPr>
          <w:rFonts w:hint="default" w:ascii="Times New Roman" w:hAnsi="Times New Roman" w:eastAsia="方正仿宋_GBK" w:cs="Times New Roman"/>
          <w:sz w:val="32"/>
          <w:szCs w:val="32"/>
        </w:rPr>
        <w:t>询价小组应当从质量和服务均能满足采购文件实质性响应要求的供应商中，按照报价由低到高的顺序提出</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成交候选人，并编写评审报告。</w:t>
      </w:r>
    </w:p>
    <w:p w14:paraId="5DF71A27">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val="en-US" w:eastAsia="zh-CN"/>
        </w:rPr>
        <w:t>26.2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若采购人认为根据</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26.1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确定的成交候选人所投产品满足不了本次采购需求，采购人有权不接受中标产品，可做废标处理。</w:t>
      </w:r>
    </w:p>
    <w:p w14:paraId="4E85C031">
      <w:pPr>
        <w:pageBreakBefore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27. 成交通知书</w:t>
      </w:r>
    </w:p>
    <w:p w14:paraId="78CA697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成交供应商确定后，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向成交供应商发出成交通知书，并公示成交结果。</w:t>
      </w:r>
    </w:p>
    <w:p w14:paraId="1EDFA35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成交结果在</w:t>
      </w:r>
      <w:r>
        <w:rPr>
          <w:rFonts w:hint="default" w:ascii="Times New Roman" w:hAnsi="Times New Roman" w:cs="Times New Roman"/>
          <w:color w:val="000000" w:themeColor="text1"/>
          <w:sz w:val="32"/>
          <w:szCs w:val="32"/>
          <w:lang w:val="en-US" w:eastAsia="zh-CN"/>
          <w14:textFill>
            <w14:solidFill>
              <w14:schemeClr w14:val="tx1"/>
            </w14:solidFill>
          </w14:textFill>
        </w:rPr>
        <w:t>发布网站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进行公示；</w:t>
      </w:r>
    </w:p>
    <w:p w14:paraId="668640B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成交通知书是合同的组成部分。</w:t>
      </w:r>
    </w:p>
    <w:p w14:paraId="35BF41F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签订合同</w:t>
      </w:r>
    </w:p>
    <w:p w14:paraId="0ACDC1A3">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采购人与成交供应商应当在成交通知书发出之日起三十日内，按照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采购文件确定的事项签订采购合同。</w:t>
      </w:r>
    </w:p>
    <w:p w14:paraId="118D53A5">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成交供应商因不可抗力或者自身原因不能履行采购合同的，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项目采购失败</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5F594D98">
      <w:pPr>
        <w:pStyle w:val="4"/>
        <w:bidi w:val="0"/>
        <w:ind w:firstLine="643" w:firstLineChars="200"/>
        <w:rPr>
          <w:rFonts w:hint="default" w:ascii="Times New Roman" w:hAnsi="Times New Roman" w:cs="Times New Roman"/>
        </w:rPr>
      </w:pPr>
      <w:bookmarkStart w:id="58" w:name="_Toc6479"/>
      <w:bookmarkStart w:id="59" w:name="_Toc13663"/>
      <w:bookmarkStart w:id="60" w:name="_Toc393354836"/>
      <w:bookmarkStart w:id="61" w:name="_Toc475291689"/>
      <w:r>
        <w:rPr>
          <w:rFonts w:hint="default" w:ascii="Times New Roman" w:hAnsi="Times New Roman" w:cs="Times New Roman"/>
        </w:rPr>
        <w:t>七、其他事项</w:t>
      </w:r>
      <w:bookmarkEnd w:id="58"/>
      <w:bookmarkEnd w:id="59"/>
      <w:bookmarkEnd w:id="60"/>
      <w:bookmarkEnd w:id="61"/>
    </w:p>
    <w:p w14:paraId="558D6F66">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中标服务费</w:t>
      </w:r>
    </w:p>
    <w:p w14:paraId="42475D3B">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本项目无需向采购人提交中标服务费</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4C959F4C">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编制依据</w:t>
      </w:r>
    </w:p>
    <w:p w14:paraId="04B097E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本项目属于采购人自行组织采购项目，询价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参照</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《中华人民共和国政府采购法》、《中华人民共和国政府采购法实施条例》、《政府采购非招标采购方式管理办法》（财政部令 第74号）及相关法律法规编制。</w:t>
      </w:r>
    </w:p>
    <w:p w14:paraId="3892B52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商务要求及售后服务要求</w:t>
      </w:r>
    </w:p>
    <w:p w14:paraId="0320171B">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47503A2C">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32.</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其它内容</w:t>
      </w:r>
    </w:p>
    <w:p w14:paraId="6D4867DB">
      <w:pPr>
        <w:pStyle w:val="2"/>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需要补充的其它内容：详见“</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供应商须知前附表</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p>
    <w:p w14:paraId="0FDDC951">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14:paraId="04BC8B17">
      <w:pPr>
        <w:pStyle w:val="2"/>
        <w:rPr>
          <w:rFonts w:hint="default" w:ascii="Times New Roman" w:hAnsi="Times New Roman" w:cs="Times New Roman"/>
          <w:b w:val="0"/>
          <w:bCs w:val="0"/>
          <w:color w:val="auto"/>
          <w:sz w:val="44"/>
          <w:szCs w:val="44"/>
          <w:u w:val="none" w:color="auto"/>
          <w:lang w:val="en-US" w:eastAsia="zh-CN"/>
        </w:rPr>
      </w:pPr>
    </w:p>
    <w:p w14:paraId="46EA5CF4">
      <w:pPr>
        <w:rPr>
          <w:rFonts w:hint="default" w:ascii="Times New Roman" w:hAnsi="Times New Roman" w:cs="Times New Roman"/>
          <w:lang w:val="en-US" w:eastAsia="zh-CN"/>
        </w:rPr>
      </w:pPr>
    </w:p>
    <w:p w14:paraId="00C4D906">
      <w:pPr>
        <w:pStyle w:val="3"/>
        <w:rPr>
          <w:rFonts w:hint="default" w:ascii="Times New Roman" w:hAnsi="Times New Roman" w:cs="Times New Roman"/>
          <w:lang w:val="en-US" w:eastAsia="zh-CN"/>
        </w:rPr>
      </w:pPr>
    </w:p>
    <w:p w14:paraId="13CC8B59">
      <w:pPr>
        <w:rPr>
          <w:rFonts w:hint="default" w:ascii="Times New Roman" w:hAnsi="Times New Roman" w:cs="Times New Roman"/>
          <w:lang w:val="en-US" w:eastAsia="zh-CN"/>
        </w:rPr>
      </w:pPr>
    </w:p>
    <w:p w14:paraId="6B5A713A">
      <w:pPr>
        <w:pStyle w:val="3"/>
        <w:rPr>
          <w:rFonts w:hint="default" w:ascii="Times New Roman" w:hAnsi="Times New Roman" w:cs="Times New Roman"/>
          <w:lang w:val="en-US" w:eastAsia="zh-CN"/>
        </w:rPr>
      </w:pPr>
    </w:p>
    <w:p w14:paraId="3D39654C">
      <w:pPr>
        <w:pStyle w:val="3"/>
        <w:numPr>
          <w:ilvl w:val="0"/>
          <w:numId w:val="1"/>
        </w:numPr>
        <w:bidi w:val="0"/>
        <w:rPr>
          <w:rFonts w:hint="default" w:ascii="Times New Roman" w:hAnsi="Times New Roman" w:eastAsia="方正小标宋_GBK" w:cs="Times New Roman"/>
          <w:sz w:val="44"/>
          <w:szCs w:val="44"/>
          <w:lang w:val="en-US" w:eastAsia="zh-CN"/>
        </w:rPr>
      </w:pPr>
      <w:bookmarkStart w:id="62" w:name="_Toc27244"/>
      <w:r>
        <w:rPr>
          <w:rFonts w:hint="default" w:ascii="Times New Roman" w:hAnsi="Times New Roman" w:eastAsia="方正小标宋_GBK" w:cs="Times New Roman"/>
          <w:sz w:val="44"/>
          <w:szCs w:val="44"/>
          <w:lang w:val="en-US" w:eastAsia="zh-CN"/>
        </w:rPr>
        <w:t>合同书样式及主要条款</w:t>
      </w:r>
      <w:bookmarkEnd w:id="62"/>
    </w:p>
    <w:tbl>
      <w:tblPr>
        <w:tblStyle w:val="16"/>
        <w:tblpPr w:leftFromText="180" w:rightFromText="180" w:vertAnchor="text" w:horzAnchor="page" w:tblpX="1746" w:tblpY="63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14:paraId="4F77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103EC20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7808" w:type="dxa"/>
          </w:tcPr>
          <w:p w14:paraId="24700B2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w:t>
            </w:r>
          </w:p>
        </w:tc>
      </w:tr>
      <w:tr w14:paraId="6E1B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3D7A06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7808" w:type="dxa"/>
          </w:tcPr>
          <w:p w14:paraId="221930E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交货期、交货方式及交货地点</w:t>
            </w:r>
          </w:p>
          <w:p w14:paraId="79427A7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交货时间：</w:t>
            </w:r>
            <w:r>
              <w:rPr>
                <w:rFonts w:hint="default" w:ascii="Times New Roman" w:hAnsi="Times New Roman" w:eastAsia="方正仿宋_GBK" w:cs="Times New Roman"/>
                <w:b w:val="0"/>
                <w:bCs w:val="0"/>
                <w:color w:val="auto"/>
                <w:kern w:val="2"/>
                <w:sz w:val="32"/>
                <w:szCs w:val="32"/>
                <w:u w:val="none"/>
                <w:lang w:val="en-US" w:eastAsia="zh-CN" w:bidi="ar-SA"/>
              </w:rPr>
              <w:t>接到订单后，中标方正常情况下48小时内送达采购人指定地点，特殊情况不得超过72小时，加急情况下需24小时内送达，特殊情况下节假日照常配送</w:t>
            </w:r>
            <w:r>
              <w:rPr>
                <w:rFonts w:hint="default" w:ascii="Times New Roman" w:hAnsi="Times New Roman" w:eastAsia="方正仿宋_GBK" w:cs="Times New Roman"/>
                <w:sz w:val="32"/>
                <w:szCs w:val="32"/>
              </w:rPr>
              <w:t>。</w:t>
            </w:r>
          </w:p>
          <w:p w14:paraId="6E97A9E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lang w:val="en-US" w:eastAsia="zh-CN"/>
              </w:rPr>
              <w:t>大理州第二人民医院指定地点</w:t>
            </w:r>
            <w:r>
              <w:rPr>
                <w:rFonts w:hint="default" w:ascii="Times New Roman" w:hAnsi="Times New Roman" w:eastAsia="方正仿宋_GBK" w:cs="Times New Roman"/>
                <w:sz w:val="32"/>
                <w:szCs w:val="32"/>
              </w:rPr>
              <w:t>。</w:t>
            </w:r>
          </w:p>
          <w:p w14:paraId="39A8532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交货方式：</w:t>
            </w:r>
            <w:r>
              <w:rPr>
                <w:rFonts w:hint="default" w:ascii="Times New Roman" w:hAnsi="Times New Roman" w:eastAsia="方正仿宋_GBK" w:cs="Times New Roman"/>
                <w:b w:val="0"/>
                <w:bCs w:val="0"/>
                <w:color w:val="auto"/>
                <w:kern w:val="2"/>
                <w:sz w:val="32"/>
                <w:szCs w:val="32"/>
                <w:u w:val="none"/>
                <w:lang w:val="en-US" w:eastAsia="zh-CN" w:bidi="ar-SA"/>
              </w:rPr>
              <w:t>由中标方负责免费运输至采购人指定位置，双方在场接收</w:t>
            </w:r>
            <w:r>
              <w:rPr>
                <w:rFonts w:hint="default" w:ascii="Times New Roman" w:hAnsi="Times New Roman" w:eastAsia="方正仿宋_GBK" w:cs="Times New Roman"/>
                <w:sz w:val="32"/>
                <w:szCs w:val="32"/>
              </w:rPr>
              <w:t>。</w:t>
            </w:r>
          </w:p>
        </w:tc>
      </w:tr>
      <w:tr w14:paraId="0D6B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0B1750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7808" w:type="dxa"/>
          </w:tcPr>
          <w:p w14:paraId="6E3C626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1</w:t>
            </w:r>
            <w:r>
              <w:rPr>
                <w:rFonts w:hint="eastAsia" w:ascii="Times New Roman" w:hAnsi="Times New Roman" w:cs="Times New Roman"/>
                <w:b w:val="0"/>
                <w:bCs/>
                <w:color w:val="000000" w:themeColor="text1"/>
                <w:sz w:val="32"/>
                <w:szCs w:val="32"/>
                <w:lang w:eastAsia="zh-CN"/>
                <w14:textFill>
                  <w14:solidFill>
                    <w14:schemeClr w14:val="tx1"/>
                  </w14:solidFill>
                </w14:textFill>
              </w:rPr>
              <w:t>（</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若供应商规模属于中小微企业类型</w:t>
            </w:r>
            <w:r>
              <w:rPr>
                <w:rFonts w:hint="eastAsia" w:ascii="Times New Roman" w:hAnsi="Times New Roman"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对公转账，</w:t>
            </w:r>
            <w:r>
              <w:rPr>
                <w:rFonts w:hint="default" w:ascii="Times New Roman" w:hAnsi="Times New Roman" w:eastAsia="方正仿宋_GBK" w:cs="Times New Roman"/>
                <w:sz w:val="32"/>
                <w:szCs w:val="32"/>
                <w:lang w:val="en-US" w:eastAsia="zh-CN"/>
              </w:rPr>
              <w:t>甲方收到乙方配送的试剂耗材后按照实际数量及随货单（出库单）验收入库</w:t>
            </w:r>
            <w:r>
              <w:rPr>
                <w:rFonts w:hint="eastAsia" w:ascii="Times New Roman" w:hAnsi="Times New Roman" w:eastAsia="方正仿宋_GBK" w:cs="Times New Roman"/>
                <w:sz w:val="32"/>
                <w:szCs w:val="32"/>
                <w:lang w:val="en-US" w:eastAsia="zh-CN"/>
              </w:rPr>
              <w:t>后</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依据</w:t>
            </w:r>
            <w:r>
              <w:rPr>
                <w:rFonts w:hint="default" w:ascii="Times New Roman" w:hAnsi="Times New Roman" w:eastAsia="方正仿宋_GBK" w:cs="Times New Roman"/>
                <w:sz w:val="32"/>
                <w:szCs w:val="32"/>
                <w:lang w:val="en-US" w:eastAsia="zh-CN"/>
              </w:rPr>
              <w:t>乙方开具的正式发票</w:t>
            </w:r>
            <w:r>
              <w:rPr>
                <w:rFonts w:hint="eastAsia" w:ascii="Times New Roman" w:hAnsi="Times New Roman" w:eastAsia="方正仿宋_GBK" w:cs="Times New Roman"/>
                <w:sz w:val="32"/>
                <w:szCs w:val="32"/>
                <w:lang w:val="en-US" w:eastAsia="zh-CN"/>
              </w:rPr>
              <w:t>60日</w:t>
            </w:r>
            <w:r>
              <w:rPr>
                <w:rFonts w:hint="default" w:ascii="Times New Roman" w:hAnsi="Times New Roman" w:eastAsia="方正仿宋_GBK" w:cs="Times New Roman"/>
                <w:sz w:val="32"/>
                <w:szCs w:val="32"/>
                <w:lang w:val="en-US" w:eastAsia="zh-CN"/>
              </w:rPr>
              <w:t>内付款。</w:t>
            </w:r>
          </w:p>
          <w:p w14:paraId="4CEE9C3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付款方式2（若供应商规模属于大型企业类型）：对公转账，</w:t>
            </w:r>
            <w:r>
              <w:rPr>
                <w:rFonts w:hint="default" w:ascii="Times New Roman" w:hAnsi="Times New Roman" w:eastAsia="方正仿宋_GBK" w:cs="Times New Roman"/>
                <w:sz w:val="32"/>
                <w:szCs w:val="32"/>
                <w:lang w:val="en-US" w:eastAsia="zh-CN"/>
              </w:rPr>
              <w:t>甲方收到乙方配送的试剂耗材后按照实际数量及随货单（出库单）验收入库</w:t>
            </w:r>
            <w:r>
              <w:rPr>
                <w:rFonts w:hint="eastAsia" w:ascii="Times New Roman" w:hAnsi="Times New Roman" w:eastAsia="方正仿宋_GBK" w:cs="Times New Roman"/>
                <w:sz w:val="32"/>
                <w:szCs w:val="32"/>
                <w:lang w:val="en-US" w:eastAsia="zh-CN"/>
              </w:rPr>
              <w:t>后</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依据</w:t>
            </w:r>
            <w:r>
              <w:rPr>
                <w:rFonts w:hint="default" w:ascii="Times New Roman" w:hAnsi="Times New Roman" w:eastAsia="方正仿宋_GBK" w:cs="Times New Roman"/>
                <w:sz w:val="32"/>
                <w:szCs w:val="32"/>
                <w:lang w:val="en-US" w:eastAsia="zh-CN"/>
              </w:rPr>
              <w:t>乙方开具的正式发票</w:t>
            </w:r>
            <w:r>
              <w:rPr>
                <w:rFonts w:hint="eastAsia" w:ascii="Times New Roman" w:hAnsi="Times New Roman" w:cs="Times New Roman"/>
                <w:sz w:val="32"/>
                <w:szCs w:val="32"/>
                <w:lang w:val="en-US" w:eastAsia="zh-CN"/>
              </w:rPr>
              <w:t>9</w:t>
            </w:r>
            <w:r>
              <w:rPr>
                <w:rFonts w:hint="eastAsia" w:ascii="Times New Roman" w:hAnsi="Times New Roman" w:eastAsia="方正仿宋_GBK" w:cs="Times New Roman"/>
                <w:sz w:val="32"/>
                <w:szCs w:val="32"/>
                <w:lang w:val="en-US" w:eastAsia="zh-CN"/>
              </w:rPr>
              <w:t>0日</w:t>
            </w:r>
            <w:r>
              <w:rPr>
                <w:rFonts w:hint="default" w:ascii="Times New Roman" w:hAnsi="Times New Roman" w:eastAsia="方正仿宋_GBK" w:cs="Times New Roman"/>
                <w:sz w:val="32"/>
                <w:szCs w:val="32"/>
                <w:lang w:val="en-US" w:eastAsia="zh-CN"/>
              </w:rPr>
              <w:t>内付款</w:t>
            </w:r>
            <w:r>
              <w:rPr>
                <w:rFonts w:hint="eastAsia" w:ascii="Times New Roman" w:hAnsi="Times New Roman" w:cs="Times New Roman"/>
                <w:sz w:val="32"/>
                <w:szCs w:val="32"/>
                <w:lang w:val="en-US" w:eastAsia="zh-CN"/>
              </w:rPr>
              <w:t>）</w:t>
            </w:r>
          </w:p>
        </w:tc>
      </w:tr>
    </w:tbl>
    <w:p w14:paraId="63798AF3">
      <w:pPr>
        <w:pStyle w:val="4"/>
        <w:bidi w:val="0"/>
        <w:rPr>
          <w:rFonts w:hint="default" w:ascii="Times New Roman" w:hAnsi="Times New Roman" w:cs="Times New Roman"/>
          <w:lang w:val="en-US" w:eastAsia="zh-CN"/>
        </w:rPr>
      </w:pPr>
      <w:bookmarkStart w:id="63" w:name="_Toc27195"/>
      <w:r>
        <w:rPr>
          <w:rFonts w:hint="default" w:ascii="Times New Roman" w:hAnsi="Times New Roman" w:cs="Times New Roman"/>
          <w:lang w:val="en-US" w:eastAsia="zh-CN"/>
        </w:rPr>
        <w:t>合同条款前附表</w:t>
      </w:r>
      <w:bookmarkEnd w:id="63"/>
    </w:p>
    <w:p w14:paraId="0DE190F6">
      <w:pPr>
        <w:pStyle w:val="2"/>
        <w:rPr>
          <w:rFonts w:hint="default" w:ascii="Times New Roman" w:hAnsi="Times New Roman" w:cs="Times New Roman"/>
          <w:lang w:val="en-US" w:eastAsia="zh-CN"/>
        </w:rPr>
      </w:pPr>
    </w:p>
    <w:p w14:paraId="775A9C88">
      <w:pPr>
        <w:rPr>
          <w:rFonts w:hint="default" w:ascii="Times New Roman" w:hAnsi="Times New Roman" w:cs="Times New Roman"/>
          <w:lang w:val="en-US" w:eastAsia="zh-CN"/>
        </w:rPr>
      </w:pPr>
    </w:p>
    <w:p w14:paraId="405E00A0">
      <w:pPr>
        <w:pStyle w:val="2"/>
        <w:rPr>
          <w:rFonts w:hint="default" w:ascii="Times New Roman" w:hAnsi="Times New Roman" w:cs="Times New Roman"/>
          <w:lang w:val="en-US" w:eastAsia="zh-CN"/>
        </w:rPr>
      </w:pPr>
    </w:p>
    <w:p w14:paraId="2004F783">
      <w:pPr>
        <w:rPr>
          <w:rFonts w:hint="default" w:ascii="Times New Roman" w:hAnsi="Times New Roman" w:cs="Times New Roman"/>
          <w:lang w:val="en-US" w:eastAsia="zh-CN"/>
        </w:rPr>
      </w:pPr>
    </w:p>
    <w:p w14:paraId="57A9D009">
      <w:pPr>
        <w:pStyle w:val="2"/>
        <w:rPr>
          <w:rFonts w:hint="default" w:ascii="Times New Roman" w:hAnsi="Times New Roman" w:cs="Times New Roman"/>
          <w:lang w:val="en-US" w:eastAsia="zh-CN"/>
        </w:rPr>
      </w:pPr>
    </w:p>
    <w:p w14:paraId="4851931A">
      <w:pPr>
        <w:rPr>
          <w:rFonts w:hint="default" w:ascii="Times New Roman" w:hAnsi="Times New Roman" w:cs="Times New Roman"/>
          <w:lang w:val="en-US" w:eastAsia="zh-CN"/>
        </w:rPr>
      </w:pPr>
    </w:p>
    <w:p w14:paraId="0CB5212A">
      <w:pPr>
        <w:pStyle w:val="2"/>
        <w:rPr>
          <w:rFonts w:hint="default" w:ascii="Times New Roman" w:hAnsi="Times New Roman" w:cs="Times New Roman"/>
          <w:lang w:val="en-US" w:eastAsia="zh-CN"/>
        </w:rPr>
      </w:pPr>
    </w:p>
    <w:p w14:paraId="167AAE3D">
      <w:pPr>
        <w:autoSpaceDE w:val="0"/>
        <w:autoSpaceDN w:val="0"/>
        <w:adjustRightInd w:val="0"/>
        <w:spacing w:line="360" w:lineRule="auto"/>
        <w:jc w:val="left"/>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 xml:space="preserve">合同编号：           </w:t>
      </w:r>
      <w:r>
        <w:rPr>
          <w:rFonts w:hint="default" w:ascii="Times New Roman" w:hAnsi="Times New Roman" w:cs="Times New Roman"/>
          <w:b/>
          <w:bCs/>
          <w:color w:val="000000" w:themeColor="text1"/>
          <w:kern w:val="0"/>
          <w:sz w:val="24"/>
          <w14:textFill>
            <w14:solidFill>
              <w14:schemeClr w14:val="tx1"/>
            </w14:solidFill>
          </w14:textFill>
        </w:rPr>
        <w:t xml:space="preserve">              项目编号：</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DLZEYZCB-2025-05</w:t>
      </w:r>
    </w:p>
    <w:p w14:paraId="1F5069FB">
      <w:pPr>
        <w:autoSpaceDE w:val="0"/>
        <w:autoSpaceDN w:val="0"/>
        <w:adjustRightInd w:val="0"/>
        <w:spacing w:line="360" w:lineRule="auto"/>
        <w:jc w:val="lef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●本合同须加盖甲乙双方骑缝章有效</w:t>
      </w:r>
    </w:p>
    <w:p w14:paraId="34A2D9FB">
      <w:pPr>
        <w:jc w:val="center"/>
        <w:rPr>
          <w:rFonts w:hint="default" w:ascii="Times New Roman" w:hAnsi="Times New Roman" w:cs="Times New Roman"/>
          <w:b/>
          <w:color w:val="000000" w:themeColor="text1"/>
          <w:spacing w:val="10"/>
          <w:sz w:val="36"/>
          <w:szCs w:val="48"/>
          <w14:textFill>
            <w14:solidFill>
              <w14:schemeClr w14:val="tx1"/>
            </w14:solidFill>
          </w14:textFill>
        </w:rPr>
      </w:pPr>
    </w:p>
    <w:p w14:paraId="3DF3689F">
      <w:pPr>
        <w:spacing w:line="360" w:lineRule="auto"/>
        <w:jc w:val="center"/>
        <w:rPr>
          <w:rFonts w:hint="default" w:ascii="Times New Roman" w:hAnsi="Times New Roman" w:cs="Times New Roman"/>
          <w:b/>
          <w:color w:val="000000" w:themeColor="text1"/>
          <w:spacing w:val="20"/>
          <w:sz w:val="32"/>
          <w:szCs w:val="32"/>
          <w14:textFill>
            <w14:solidFill>
              <w14:schemeClr w14:val="tx1"/>
            </w14:solidFill>
          </w14:textFill>
        </w:rPr>
      </w:pPr>
      <w:r>
        <w:rPr>
          <w:rFonts w:hint="default" w:ascii="Times New Roman" w:hAnsi="Times New Roman" w:cs="Times New Roman"/>
          <w:b/>
          <w:color w:val="000000" w:themeColor="text1"/>
          <w:spacing w:val="20"/>
          <w:sz w:val="32"/>
          <w:szCs w:val="32"/>
          <w14:textFill>
            <w14:solidFill>
              <w14:schemeClr w14:val="tx1"/>
            </w14:solidFill>
          </w14:textFill>
        </w:rPr>
        <w:t xml:space="preserve">  </w:t>
      </w:r>
    </w:p>
    <w:p w14:paraId="6D9C526A">
      <w:pPr>
        <w:autoSpaceDE w:val="0"/>
        <w:autoSpaceDN w:val="0"/>
        <w:adjustRightInd w:val="0"/>
        <w:spacing w:line="360" w:lineRule="auto"/>
        <w:jc w:val="center"/>
        <w:rPr>
          <w:rFonts w:hint="default" w:ascii="Times New Roman" w:hAnsi="Times New Roman" w:cs="Times New Roman"/>
          <w:b/>
          <w:color w:val="000000" w:themeColor="text1"/>
          <w:kern w:val="0"/>
          <w:sz w:val="102"/>
          <w:szCs w:val="32"/>
          <w14:textFill>
            <w14:solidFill>
              <w14:schemeClr w14:val="tx1"/>
            </w14:solidFill>
          </w14:textFill>
        </w:rPr>
      </w:pPr>
      <w:r>
        <w:rPr>
          <w:rFonts w:hint="default" w:ascii="Times New Roman" w:hAnsi="Times New Roman" w:cs="Times New Roman"/>
          <w:b/>
          <w:color w:val="000000" w:themeColor="text1"/>
          <w:kern w:val="0"/>
          <w:sz w:val="102"/>
          <w:szCs w:val="32"/>
          <w14:textFill>
            <w14:solidFill>
              <w14:schemeClr w14:val="tx1"/>
            </w14:solidFill>
          </w14:textFill>
        </w:rPr>
        <w:t>合</w:t>
      </w:r>
    </w:p>
    <w:p w14:paraId="5A20D996">
      <w:pPr>
        <w:autoSpaceDE w:val="0"/>
        <w:autoSpaceDN w:val="0"/>
        <w:adjustRightInd w:val="0"/>
        <w:spacing w:line="360" w:lineRule="auto"/>
        <w:jc w:val="center"/>
        <w:rPr>
          <w:rFonts w:hint="default" w:ascii="Times New Roman" w:hAnsi="Times New Roman" w:cs="Times New Roman"/>
          <w:b/>
          <w:color w:val="000000" w:themeColor="text1"/>
          <w:kern w:val="0"/>
          <w:sz w:val="102"/>
          <w:szCs w:val="32"/>
          <w14:textFill>
            <w14:solidFill>
              <w14:schemeClr w14:val="tx1"/>
            </w14:solidFill>
          </w14:textFill>
        </w:rPr>
      </w:pPr>
      <w:r>
        <w:rPr>
          <w:rFonts w:hint="default" w:ascii="Times New Roman" w:hAnsi="Times New Roman" w:cs="Times New Roman"/>
          <w:b/>
          <w:color w:val="000000" w:themeColor="text1"/>
          <w:kern w:val="0"/>
          <w:sz w:val="102"/>
          <w:szCs w:val="32"/>
          <w14:textFill>
            <w14:solidFill>
              <w14:schemeClr w14:val="tx1"/>
            </w14:solidFill>
          </w14:textFill>
        </w:rPr>
        <w:t>同</w:t>
      </w:r>
    </w:p>
    <w:p w14:paraId="7A2EA8E3">
      <w:pPr>
        <w:autoSpaceDE w:val="0"/>
        <w:autoSpaceDN w:val="0"/>
        <w:adjustRightInd w:val="0"/>
        <w:spacing w:line="360" w:lineRule="auto"/>
        <w:jc w:val="center"/>
        <w:rPr>
          <w:rFonts w:hint="default" w:ascii="Times New Roman" w:hAnsi="Times New Roman" w:cs="Times New Roman"/>
          <w:b/>
          <w:color w:val="000000" w:themeColor="text1"/>
          <w:kern w:val="0"/>
          <w:sz w:val="30"/>
          <w:szCs w:val="30"/>
          <w:lang w:val="zh-CN"/>
          <w14:textFill>
            <w14:solidFill>
              <w14:schemeClr w14:val="tx1"/>
            </w14:solidFill>
          </w14:textFill>
        </w:rPr>
      </w:pPr>
      <w:r>
        <w:rPr>
          <w:rFonts w:hint="default" w:ascii="Times New Roman" w:hAnsi="Times New Roman" w:cs="Times New Roman"/>
          <w:b/>
          <w:color w:val="000000" w:themeColor="text1"/>
          <w:kern w:val="0"/>
          <w:sz w:val="102"/>
          <w:szCs w:val="32"/>
          <w14:textFill>
            <w14:solidFill>
              <w14:schemeClr w14:val="tx1"/>
            </w14:solidFill>
          </w14:textFill>
        </w:rPr>
        <w:t>书</w:t>
      </w:r>
    </w:p>
    <w:p w14:paraId="736AD63D">
      <w:pPr>
        <w:autoSpaceDE w:val="0"/>
        <w:autoSpaceDN w:val="0"/>
        <w:adjustRightInd w:val="0"/>
        <w:spacing w:line="500" w:lineRule="exact"/>
        <w:ind w:firstLine="2861" w:firstLineChars="950"/>
        <w:jc w:val="left"/>
        <w:rPr>
          <w:rFonts w:hint="default" w:ascii="Times New Roman" w:hAnsi="Times New Roman" w:cs="Times New Roman"/>
          <w:b/>
          <w:color w:val="000000" w:themeColor="text1"/>
          <w:kern w:val="0"/>
          <w:sz w:val="30"/>
          <w:szCs w:val="30"/>
          <w:lang w:val="zh-CN"/>
          <w14:textFill>
            <w14:solidFill>
              <w14:schemeClr w14:val="tx1"/>
            </w14:solidFill>
          </w14:textFill>
        </w:rPr>
      </w:pPr>
    </w:p>
    <w:p w14:paraId="108ED97E">
      <w:pPr>
        <w:pStyle w:val="8"/>
        <w:rPr>
          <w:rFonts w:hint="default" w:ascii="Times New Roman" w:hAnsi="Times New Roman" w:cs="Times New Roman"/>
          <w:lang w:val="zh-CN"/>
        </w:rPr>
      </w:pPr>
    </w:p>
    <w:p w14:paraId="30F426FE">
      <w:pPr>
        <w:autoSpaceDE w:val="0"/>
        <w:autoSpaceDN w:val="0"/>
        <w:adjustRightInd w:val="0"/>
        <w:spacing w:line="500" w:lineRule="exact"/>
        <w:jc w:val="left"/>
        <w:rPr>
          <w:rFonts w:hint="default" w:ascii="Times New Roman" w:hAnsi="Times New Roman" w:cs="Times New Roman"/>
          <w:b/>
          <w:color w:val="000000" w:themeColor="text1"/>
          <w:kern w:val="0"/>
          <w:sz w:val="30"/>
          <w:szCs w:val="30"/>
          <w:lang w:val="zh-CN"/>
          <w14:textFill>
            <w14:solidFill>
              <w14:schemeClr w14:val="tx1"/>
            </w14:solidFill>
          </w14:textFill>
        </w:rPr>
      </w:pPr>
      <w:r>
        <w:rPr>
          <w:rFonts w:hint="default" w:ascii="Times New Roman" w:hAnsi="Times New Roman" w:cs="Times New Roman"/>
          <w:b/>
          <w:color w:val="000000" w:themeColor="text1"/>
          <w:kern w:val="0"/>
          <w:sz w:val="30"/>
          <w:szCs w:val="30"/>
          <w:lang w:val="zh-CN"/>
          <w14:textFill>
            <w14:solidFill>
              <w14:schemeClr w14:val="tx1"/>
            </w14:solidFill>
          </w14:textFill>
        </w:rPr>
        <w:t>签订地点：</w:t>
      </w:r>
    </w:p>
    <w:p w14:paraId="7A515DA7">
      <w:pPr>
        <w:autoSpaceDE w:val="0"/>
        <w:autoSpaceDN w:val="0"/>
        <w:adjustRightInd w:val="0"/>
        <w:spacing w:line="500" w:lineRule="exact"/>
        <w:jc w:val="left"/>
        <w:rPr>
          <w:rFonts w:hint="default" w:ascii="Times New Roman" w:hAnsi="Times New Roman" w:cs="Times New Roman"/>
          <w:b/>
          <w:color w:val="000000" w:themeColor="text1"/>
          <w:kern w:val="0"/>
          <w:sz w:val="30"/>
          <w:szCs w:val="30"/>
          <w:lang w:val="zh-CN"/>
          <w14:textFill>
            <w14:solidFill>
              <w14:schemeClr w14:val="tx1"/>
            </w14:solidFill>
          </w14:textFill>
        </w:rPr>
      </w:pPr>
    </w:p>
    <w:p w14:paraId="18B84351">
      <w:pPr>
        <w:autoSpaceDE w:val="0"/>
        <w:autoSpaceDN w:val="0"/>
        <w:adjustRightInd w:val="0"/>
        <w:spacing w:line="500" w:lineRule="exact"/>
        <w:jc w:val="left"/>
        <w:rPr>
          <w:rFonts w:hint="default" w:ascii="Times New Roman" w:hAnsi="Times New Roman" w:cs="Times New Roman"/>
          <w:b/>
          <w:color w:val="000000" w:themeColor="text1"/>
          <w:kern w:val="0"/>
          <w:sz w:val="30"/>
          <w:szCs w:val="30"/>
          <w:lang w:val="zh-CN"/>
          <w14:textFill>
            <w14:solidFill>
              <w14:schemeClr w14:val="tx1"/>
            </w14:solidFill>
          </w14:textFill>
        </w:rPr>
      </w:pPr>
      <w:r>
        <w:rPr>
          <w:rFonts w:hint="default" w:ascii="Times New Roman" w:hAnsi="Times New Roman" w:cs="Times New Roman"/>
          <w:b/>
          <w:color w:val="000000" w:themeColor="text1"/>
          <w:kern w:val="0"/>
          <w:sz w:val="30"/>
          <w:szCs w:val="30"/>
          <w:lang w:val="zh-CN"/>
          <w14:textFill>
            <w14:solidFill>
              <w14:schemeClr w14:val="tx1"/>
            </w14:solidFill>
          </w14:textFill>
        </w:rPr>
        <w:t>签订日期：  年 月  日</w:t>
      </w:r>
    </w:p>
    <w:p w14:paraId="17105356">
      <w:pPr>
        <w:pStyle w:val="2"/>
        <w:rPr>
          <w:rFonts w:hint="default" w:ascii="Times New Roman" w:hAnsi="Times New Roman" w:cs="Times New Roman"/>
          <w:lang w:val="en-US" w:eastAsia="zh-CN"/>
        </w:rPr>
      </w:pPr>
    </w:p>
    <w:p w14:paraId="230C9258">
      <w:pPr>
        <w:rPr>
          <w:rFonts w:hint="default" w:ascii="Times New Roman" w:hAnsi="Times New Roman" w:cs="Times New Roman"/>
          <w:lang w:val="en-US" w:eastAsia="zh-CN"/>
        </w:rPr>
      </w:pPr>
    </w:p>
    <w:p w14:paraId="25E02BD7">
      <w:pPr>
        <w:pStyle w:val="2"/>
        <w:rPr>
          <w:rFonts w:hint="default" w:ascii="Times New Roman" w:hAnsi="Times New Roman" w:cs="Times New Roman"/>
          <w:lang w:val="en-US" w:eastAsia="zh-CN"/>
        </w:rPr>
      </w:pPr>
    </w:p>
    <w:p w14:paraId="58CF603D">
      <w:pPr>
        <w:rPr>
          <w:rFonts w:hint="default" w:ascii="Times New Roman" w:hAnsi="Times New Roman" w:cs="Times New Roman"/>
          <w:lang w:val="en-US" w:eastAsia="zh-CN"/>
        </w:rPr>
      </w:pPr>
    </w:p>
    <w:p w14:paraId="11402EB6">
      <w:pPr>
        <w:pStyle w:val="2"/>
        <w:rPr>
          <w:rFonts w:hint="default" w:ascii="Times New Roman" w:hAnsi="Times New Roman" w:cs="Times New Roman"/>
          <w:lang w:val="en-US" w:eastAsia="zh-CN"/>
        </w:rPr>
      </w:pPr>
    </w:p>
    <w:p w14:paraId="774E8AC2">
      <w:pPr>
        <w:rPr>
          <w:rFonts w:hint="default" w:ascii="Times New Roman" w:hAnsi="Times New Roman" w:cs="Times New Roman"/>
          <w:lang w:val="en-US" w:eastAsia="zh-CN"/>
        </w:rPr>
      </w:pPr>
    </w:p>
    <w:p w14:paraId="76896F1B">
      <w:pPr>
        <w:pStyle w:val="2"/>
        <w:rPr>
          <w:rFonts w:hint="default" w:ascii="Times New Roman" w:hAnsi="Times New Roman" w:cs="Times New Roman"/>
          <w:lang w:val="en-US" w:eastAsia="zh-CN"/>
        </w:rPr>
      </w:pPr>
    </w:p>
    <w:p w14:paraId="21F99298">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甲方(盖章)：大理白族自治州第二人民医院</w:t>
      </w:r>
    </w:p>
    <w:p w14:paraId="7B3D79F7">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法定代表人或委托代表人(签字)：</w:t>
      </w:r>
    </w:p>
    <w:p w14:paraId="3A58E7B4">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地址：大理市满江街道红山路与太和路交汇处</w:t>
      </w:r>
    </w:p>
    <w:p w14:paraId="6B0E3D14">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邮编：671005                  传真：0872-2125916</w:t>
      </w:r>
    </w:p>
    <w:p w14:paraId="346B50BA">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电话：0872-2350063</w:t>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ab/>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 xml:space="preserve">         联系人：</w:t>
      </w:r>
    </w:p>
    <w:p w14:paraId="165A7C9F">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2CE17DDA">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乙方(盖章)：</w:t>
      </w:r>
    </w:p>
    <w:p w14:paraId="42AEFF33">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法定代表人或委托代表人(签字)：</w:t>
      </w:r>
    </w:p>
    <w:p w14:paraId="342AF6F1">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地址：</w:t>
      </w:r>
    </w:p>
    <w:p w14:paraId="64C7C0CD">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邮编：</w:t>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ab/>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 xml:space="preserve">                      传真：</w:t>
      </w:r>
    </w:p>
    <w:p w14:paraId="7F373A57">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电话：</w:t>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ab/>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 xml:space="preserve">                      联系人：</w:t>
      </w:r>
    </w:p>
    <w:p w14:paraId="2E520B21">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27256030">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68678A41">
      <w:pPr>
        <w:pStyle w:val="31"/>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2DEE98E9">
      <w:pPr>
        <w:pStyle w:val="31"/>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274E561A">
      <w:pPr>
        <w:pStyle w:val="31"/>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5A21439F">
      <w:pPr>
        <w:pStyle w:val="31"/>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6B72BA7F">
      <w:pPr>
        <w:pStyle w:val="31"/>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526FEF95">
      <w:pPr>
        <w:spacing w:before="100" w:beforeAutospacing="1" w:line="560" w:lineRule="exact"/>
        <w:ind w:left="-160" w:leftChars="-50" w:right="-160" w:rightChars="-50" w:firstLine="480" w:firstLineChars="200"/>
        <w:rPr>
          <w:rFonts w:hint="default" w:ascii="Times New Roman" w:hAnsi="Times New Roman" w:eastAsia="宋体" w:cs="Times New Roman"/>
          <w:sz w:val="24"/>
          <w:szCs w:val="24"/>
        </w:rPr>
      </w:pPr>
      <w:bookmarkStart w:id="64" w:name="_bookmark147"/>
      <w:bookmarkEnd w:id="64"/>
    </w:p>
    <w:p w14:paraId="06218DC4">
      <w:pPr>
        <w:keepNext w:val="0"/>
        <w:keepLines w:val="0"/>
        <w:pageBreakBefore w:val="0"/>
        <w:kinsoku/>
        <w:wordWrap/>
        <w:overflowPunct/>
        <w:topLinePunct w:val="0"/>
        <w:autoSpaceDE/>
        <w:autoSpaceDN/>
        <w:bidi w:val="0"/>
        <w:adjustRightInd/>
        <w:snapToGrid/>
        <w:spacing w:before="100" w:beforeAutospacing="1" w:line="510" w:lineRule="exact"/>
        <w:ind w:left="-160" w:leftChars="-50" w:right="-160" w:rightChars="-50" w:firstLine="480" w:firstLineChars="200"/>
        <w:rPr>
          <w:rFonts w:hint="default" w:ascii="Times New Roman" w:hAnsi="Times New Roman" w:eastAsia="宋体" w:cs="Times New Roman"/>
          <w:sz w:val="28"/>
          <w:szCs w:val="28"/>
        </w:rPr>
      </w:pPr>
      <w:r>
        <w:rPr>
          <w:rFonts w:hint="default" w:ascii="Times New Roman" w:hAnsi="Times New Roman" w:eastAsia="宋体" w:cs="Times New Roman"/>
          <w:sz w:val="24"/>
          <w:szCs w:val="24"/>
        </w:rPr>
        <w:t>根据《中华人民共和国</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"http://hetongfa.yjbys.com/" \t "_blank"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民法典</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及其他</w:t>
      </w:r>
      <w:r>
        <w:rPr>
          <w:rFonts w:hint="default" w:ascii="Times New Roman" w:hAnsi="Times New Roman" w:eastAsia="宋体" w:cs="Times New Roman"/>
          <w:sz w:val="24"/>
          <w:szCs w:val="24"/>
        </w:rPr>
        <w:t>有关法律、法规规定，甲、乙双方本着平等、自愿、公平、互惠互利和诚实守信的原则，就甲方</w:t>
      </w:r>
      <w:r>
        <w:rPr>
          <w:rFonts w:hint="default" w:ascii="Times New Roman" w:hAnsi="Times New Roman" w:eastAsia="宋体" w:cs="Times New Roman"/>
          <w:sz w:val="24"/>
          <w:szCs w:val="24"/>
          <w:lang w:eastAsia="zh-CN"/>
        </w:rPr>
        <w:t>卫生材料和医用低值易耗品</w:t>
      </w:r>
      <w:r>
        <w:rPr>
          <w:rFonts w:hint="default" w:ascii="Times New Roman" w:hAnsi="Times New Roman" w:eastAsia="宋体" w:cs="Times New Roman"/>
          <w:sz w:val="24"/>
          <w:szCs w:val="24"/>
        </w:rPr>
        <w:t>采购的有关事宜协商一致签署本合同，以便共同遵守。</w:t>
      </w:r>
    </w:p>
    <w:p w14:paraId="301459C4">
      <w:pPr>
        <w:keepNext w:val="0"/>
        <w:keepLines w:val="0"/>
        <w:pageBreakBefore w:val="0"/>
        <w:numPr>
          <w:ilvl w:val="0"/>
          <w:numId w:val="4"/>
        </w:numPr>
        <w:kinsoku/>
        <w:wordWrap/>
        <w:overflowPunct/>
        <w:topLinePunct w:val="0"/>
        <w:autoSpaceDE/>
        <w:autoSpaceDN/>
        <w:bidi w:val="0"/>
        <w:adjustRightInd/>
        <w:snapToGrid/>
        <w:spacing w:line="510" w:lineRule="exact"/>
        <w:ind w:left="-160" w:leftChars="-50" w:right="-160" w:rightChars="-50"/>
        <w:rPr>
          <w:rFonts w:hint="default" w:ascii="Times New Roman" w:hAnsi="Times New Roman" w:eastAsia="宋体" w:cs="Times New Roman"/>
          <w:b/>
          <w:sz w:val="28"/>
          <w:szCs w:val="28"/>
        </w:rPr>
      </w:pPr>
      <w:r>
        <w:rPr>
          <w:rFonts w:hint="default" w:ascii="Times New Roman" w:hAnsi="Times New Roman" w:cs="Times New Roman"/>
          <w:b/>
          <w:sz w:val="28"/>
          <w:szCs w:val="28"/>
          <w:lang w:val="en-US" w:eastAsia="zh-CN"/>
        </w:rPr>
        <w:t>试剂耗材</w:t>
      </w:r>
      <w:r>
        <w:rPr>
          <w:rFonts w:hint="default" w:ascii="Times New Roman" w:hAnsi="Times New Roman" w:eastAsia="宋体" w:cs="Times New Roman"/>
          <w:b/>
          <w:sz w:val="28"/>
          <w:szCs w:val="28"/>
        </w:rPr>
        <w:t>品种及其价格</w:t>
      </w:r>
    </w:p>
    <w:p w14:paraId="20A80D54">
      <w:pPr>
        <w:keepNext w:val="0"/>
        <w:keepLines w:val="0"/>
        <w:pageBreakBefore w:val="0"/>
        <w:kinsoku/>
        <w:wordWrap/>
        <w:overflowPunct/>
        <w:topLinePunct w:val="0"/>
        <w:autoSpaceDE/>
        <w:autoSpaceDN/>
        <w:bidi w:val="0"/>
        <w:adjustRightInd/>
        <w:snapToGrid/>
        <w:spacing w:line="510" w:lineRule="exact"/>
        <w:ind w:right="-160" w:rightChars="-50" w:firstLine="504" w:firstLineChars="200"/>
        <w:rPr>
          <w:rFonts w:hint="default" w:ascii="Times New Roman" w:hAnsi="Times New Roman" w:eastAsia="宋体" w:cs="Times New Roman"/>
          <w:b/>
          <w:sz w:val="24"/>
          <w:szCs w:val="24"/>
        </w:rPr>
      </w:pPr>
      <w:r>
        <w:rPr>
          <w:rFonts w:hint="default" w:ascii="Times New Roman" w:hAnsi="Times New Roman" w:eastAsia="宋体" w:cs="Times New Roman"/>
          <w:color w:val="000000"/>
          <w:spacing w:val="6"/>
          <w:sz w:val="24"/>
          <w:szCs w:val="24"/>
        </w:rPr>
        <w:t>甲方采购的产品名称、生产厂家、注册证号、规格型号、</w:t>
      </w:r>
      <w:r>
        <w:rPr>
          <w:rFonts w:hint="default" w:ascii="Times New Roman" w:hAnsi="Times New Roman" w:eastAsia="宋体" w:cs="Times New Roman"/>
          <w:color w:val="000000"/>
          <w:spacing w:val="6"/>
          <w:sz w:val="24"/>
          <w:szCs w:val="24"/>
          <w:lang w:eastAsia="zh-CN"/>
        </w:rPr>
        <w:t>投标报价</w:t>
      </w:r>
      <w:r>
        <w:rPr>
          <w:rFonts w:hint="default" w:ascii="Times New Roman" w:hAnsi="Times New Roman" w:eastAsia="宋体" w:cs="Times New Roman"/>
          <w:color w:val="000000"/>
          <w:spacing w:val="6"/>
          <w:sz w:val="24"/>
          <w:szCs w:val="24"/>
        </w:rPr>
        <w:t>等如下：</w:t>
      </w:r>
    </w:p>
    <w:tbl>
      <w:tblPr>
        <w:tblStyle w:val="1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95"/>
        <w:gridCol w:w="1787"/>
        <w:gridCol w:w="1665"/>
        <w:gridCol w:w="1812"/>
        <w:gridCol w:w="857"/>
        <w:gridCol w:w="1335"/>
      </w:tblGrid>
      <w:tr w14:paraId="654F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30" w:type="dxa"/>
            <w:vAlign w:val="center"/>
          </w:tcPr>
          <w:p w14:paraId="4B7D46FC">
            <w:pPr>
              <w:keepNext w:val="0"/>
              <w:keepLines w:val="0"/>
              <w:pageBreakBefore w:val="0"/>
              <w:kinsoku/>
              <w:wordWrap/>
              <w:overflowPunct/>
              <w:topLinePunct w:val="0"/>
              <w:autoSpaceDE/>
              <w:autoSpaceDN/>
              <w:bidi w:val="0"/>
              <w:adjustRightInd/>
              <w:snapToGrid/>
              <w:spacing w:line="51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序号</w:t>
            </w:r>
          </w:p>
        </w:tc>
        <w:tc>
          <w:tcPr>
            <w:tcW w:w="1695" w:type="dxa"/>
            <w:vAlign w:val="center"/>
          </w:tcPr>
          <w:p w14:paraId="00E894CA">
            <w:pPr>
              <w:keepNext w:val="0"/>
              <w:keepLines w:val="0"/>
              <w:pageBreakBefore w:val="0"/>
              <w:kinsoku/>
              <w:wordWrap/>
              <w:overflowPunct/>
              <w:topLinePunct w:val="0"/>
              <w:autoSpaceDE/>
              <w:autoSpaceDN/>
              <w:bidi w:val="0"/>
              <w:adjustRightInd/>
              <w:snapToGrid/>
              <w:spacing w:line="51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产品名称</w:t>
            </w:r>
          </w:p>
        </w:tc>
        <w:tc>
          <w:tcPr>
            <w:tcW w:w="1787" w:type="dxa"/>
            <w:vAlign w:val="center"/>
          </w:tcPr>
          <w:p w14:paraId="6FEDBB9C">
            <w:pPr>
              <w:keepNext w:val="0"/>
              <w:keepLines w:val="0"/>
              <w:pageBreakBefore w:val="0"/>
              <w:kinsoku/>
              <w:wordWrap/>
              <w:overflowPunct/>
              <w:topLinePunct w:val="0"/>
              <w:autoSpaceDE/>
              <w:autoSpaceDN/>
              <w:bidi w:val="0"/>
              <w:adjustRightInd/>
              <w:snapToGrid/>
              <w:spacing w:line="51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生产厂家</w:t>
            </w:r>
          </w:p>
        </w:tc>
        <w:tc>
          <w:tcPr>
            <w:tcW w:w="1665" w:type="dxa"/>
            <w:vAlign w:val="center"/>
          </w:tcPr>
          <w:p w14:paraId="3C485171">
            <w:pPr>
              <w:keepNext w:val="0"/>
              <w:keepLines w:val="0"/>
              <w:pageBreakBefore w:val="0"/>
              <w:kinsoku/>
              <w:wordWrap/>
              <w:overflowPunct/>
              <w:topLinePunct w:val="0"/>
              <w:autoSpaceDE/>
              <w:autoSpaceDN/>
              <w:bidi w:val="0"/>
              <w:adjustRightInd/>
              <w:snapToGrid/>
              <w:spacing w:line="51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注册证号或备案凭证</w:t>
            </w:r>
          </w:p>
        </w:tc>
        <w:tc>
          <w:tcPr>
            <w:tcW w:w="1812" w:type="dxa"/>
            <w:vAlign w:val="center"/>
          </w:tcPr>
          <w:p w14:paraId="1D7869BF">
            <w:pPr>
              <w:keepNext w:val="0"/>
              <w:keepLines w:val="0"/>
              <w:pageBreakBefore w:val="0"/>
              <w:kinsoku/>
              <w:wordWrap/>
              <w:overflowPunct/>
              <w:topLinePunct w:val="0"/>
              <w:autoSpaceDE/>
              <w:autoSpaceDN/>
              <w:bidi w:val="0"/>
              <w:adjustRightInd/>
              <w:snapToGrid/>
              <w:spacing w:line="51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规格型号</w:t>
            </w:r>
          </w:p>
        </w:tc>
        <w:tc>
          <w:tcPr>
            <w:tcW w:w="857" w:type="dxa"/>
            <w:vAlign w:val="center"/>
          </w:tcPr>
          <w:p w14:paraId="3483E936">
            <w:pPr>
              <w:keepNext w:val="0"/>
              <w:keepLines w:val="0"/>
              <w:pageBreakBefore w:val="0"/>
              <w:kinsoku/>
              <w:wordWrap/>
              <w:overflowPunct/>
              <w:topLinePunct w:val="0"/>
              <w:autoSpaceDE/>
              <w:autoSpaceDN/>
              <w:bidi w:val="0"/>
              <w:adjustRightInd/>
              <w:snapToGrid/>
              <w:spacing w:line="510" w:lineRule="exact"/>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单位</w:t>
            </w:r>
          </w:p>
        </w:tc>
        <w:tc>
          <w:tcPr>
            <w:tcW w:w="1335" w:type="dxa"/>
            <w:vAlign w:val="center"/>
          </w:tcPr>
          <w:p w14:paraId="4057FF20">
            <w:pPr>
              <w:keepNext w:val="0"/>
              <w:keepLines w:val="0"/>
              <w:pageBreakBefore w:val="0"/>
              <w:kinsoku/>
              <w:wordWrap/>
              <w:overflowPunct/>
              <w:topLinePunct w:val="0"/>
              <w:autoSpaceDE/>
              <w:autoSpaceDN/>
              <w:bidi w:val="0"/>
              <w:adjustRightInd/>
              <w:snapToGrid/>
              <w:spacing w:line="510" w:lineRule="exact"/>
              <w:jc w:val="center"/>
              <w:rPr>
                <w:rFonts w:hint="default"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供货价格</w:t>
            </w:r>
            <w:r>
              <w:rPr>
                <w:rFonts w:hint="default" w:ascii="Times New Roman" w:hAnsi="Times New Roman" w:eastAsia="宋体" w:cs="Times New Roman"/>
                <w:b/>
                <w:sz w:val="24"/>
                <w:szCs w:val="24"/>
              </w:rPr>
              <w:t xml:space="preserve">   （元）</w:t>
            </w:r>
          </w:p>
        </w:tc>
      </w:tr>
      <w:tr w14:paraId="7204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30" w:type="dxa"/>
            <w:vAlign w:val="center"/>
          </w:tcPr>
          <w:p w14:paraId="054AA656">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w:t>
            </w:r>
          </w:p>
        </w:tc>
        <w:tc>
          <w:tcPr>
            <w:tcW w:w="1695" w:type="dxa"/>
            <w:vAlign w:val="center"/>
          </w:tcPr>
          <w:p w14:paraId="61C2C8D4">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
                <w:color w:val="000000" w:themeColor="text1"/>
                <w:sz w:val="24"/>
                <w:szCs w:val="24"/>
                <w14:textFill>
                  <w14:solidFill>
                    <w14:schemeClr w14:val="tx1"/>
                  </w14:solidFill>
                </w14:textFill>
              </w:rPr>
            </w:pPr>
          </w:p>
        </w:tc>
        <w:tc>
          <w:tcPr>
            <w:tcW w:w="1787" w:type="dxa"/>
            <w:vAlign w:val="center"/>
          </w:tcPr>
          <w:p w14:paraId="72106E81">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665" w:type="dxa"/>
            <w:vAlign w:val="center"/>
          </w:tcPr>
          <w:p w14:paraId="3AD1B057">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812" w:type="dxa"/>
            <w:vAlign w:val="center"/>
          </w:tcPr>
          <w:p w14:paraId="239E3BE2">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857" w:type="dxa"/>
            <w:vAlign w:val="center"/>
          </w:tcPr>
          <w:p w14:paraId="47B5AA91">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kern w:val="0"/>
                <w:sz w:val="24"/>
                <w:szCs w:val="24"/>
                <w:lang w:eastAsia="zh-CN"/>
                <w14:textFill>
                  <w14:solidFill>
                    <w14:schemeClr w14:val="tx1"/>
                  </w14:solidFill>
                </w14:textFill>
              </w:rPr>
            </w:pPr>
          </w:p>
        </w:tc>
        <w:tc>
          <w:tcPr>
            <w:tcW w:w="1335" w:type="dxa"/>
            <w:vAlign w:val="center"/>
          </w:tcPr>
          <w:p w14:paraId="056D766A">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kern w:val="0"/>
                <w:sz w:val="24"/>
                <w:szCs w:val="24"/>
                <w14:textFill>
                  <w14:solidFill>
                    <w14:schemeClr w14:val="tx1"/>
                  </w14:solidFill>
                </w14:textFill>
              </w:rPr>
            </w:pPr>
          </w:p>
        </w:tc>
      </w:tr>
      <w:tr w14:paraId="08D0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0" w:type="dxa"/>
            <w:vAlign w:val="center"/>
          </w:tcPr>
          <w:p w14:paraId="1A056B40">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w:t>
            </w:r>
          </w:p>
        </w:tc>
        <w:tc>
          <w:tcPr>
            <w:tcW w:w="1695" w:type="dxa"/>
            <w:vAlign w:val="center"/>
          </w:tcPr>
          <w:p w14:paraId="1F062352">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
                <w:color w:val="000000" w:themeColor="text1"/>
                <w:sz w:val="24"/>
                <w:szCs w:val="24"/>
                <w14:textFill>
                  <w14:solidFill>
                    <w14:schemeClr w14:val="tx1"/>
                  </w14:solidFill>
                </w14:textFill>
              </w:rPr>
            </w:pPr>
          </w:p>
        </w:tc>
        <w:tc>
          <w:tcPr>
            <w:tcW w:w="1787" w:type="dxa"/>
            <w:vAlign w:val="center"/>
          </w:tcPr>
          <w:p w14:paraId="4DBEBDCF">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665" w:type="dxa"/>
            <w:vAlign w:val="center"/>
          </w:tcPr>
          <w:p w14:paraId="09043B4D">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812" w:type="dxa"/>
            <w:vAlign w:val="center"/>
          </w:tcPr>
          <w:p w14:paraId="585A019A">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857" w:type="dxa"/>
            <w:vAlign w:val="center"/>
          </w:tcPr>
          <w:p w14:paraId="387D7AB4">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kern w:val="0"/>
                <w:sz w:val="24"/>
                <w:szCs w:val="24"/>
                <w:lang w:eastAsia="zh-CN"/>
                <w14:textFill>
                  <w14:solidFill>
                    <w14:schemeClr w14:val="tx1"/>
                  </w14:solidFill>
                </w14:textFill>
              </w:rPr>
            </w:pPr>
          </w:p>
        </w:tc>
        <w:tc>
          <w:tcPr>
            <w:tcW w:w="1335" w:type="dxa"/>
            <w:vAlign w:val="center"/>
          </w:tcPr>
          <w:p w14:paraId="4479EAE3">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kern w:val="0"/>
                <w:sz w:val="24"/>
                <w:szCs w:val="24"/>
                <w14:textFill>
                  <w14:solidFill>
                    <w14:schemeClr w14:val="tx1"/>
                  </w14:solidFill>
                </w14:textFill>
              </w:rPr>
            </w:pPr>
          </w:p>
        </w:tc>
      </w:tr>
      <w:tr w14:paraId="507F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0" w:type="dxa"/>
            <w:vAlign w:val="center"/>
          </w:tcPr>
          <w:p w14:paraId="5582571E">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3</w:t>
            </w:r>
          </w:p>
        </w:tc>
        <w:tc>
          <w:tcPr>
            <w:tcW w:w="1695" w:type="dxa"/>
            <w:vAlign w:val="center"/>
          </w:tcPr>
          <w:p w14:paraId="599E450D">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
                <w:color w:val="000000" w:themeColor="text1"/>
                <w:sz w:val="24"/>
                <w:szCs w:val="24"/>
                <w14:textFill>
                  <w14:solidFill>
                    <w14:schemeClr w14:val="tx1"/>
                  </w14:solidFill>
                </w14:textFill>
              </w:rPr>
            </w:pPr>
          </w:p>
        </w:tc>
        <w:tc>
          <w:tcPr>
            <w:tcW w:w="1787" w:type="dxa"/>
            <w:vAlign w:val="center"/>
          </w:tcPr>
          <w:p w14:paraId="7629472B">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665" w:type="dxa"/>
            <w:vAlign w:val="center"/>
          </w:tcPr>
          <w:p w14:paraId="74F70B0B">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812" w:type="dxa"/>
            <w:vAlign w:val="center"/>
          </w:tcPr>
          <w:p w14:paraId="5F32D087">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857" w:type="dxa"/>
            <w:vAlign w:val="center"/>
          </w:tcPr>
          <w:p w14:paraId="60E9001D">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kern w:val="0"/>
                <w:sz w:val="24"/>
                <w:szCs w:val="24"/>
                <w:lang w:eastAsia="zh-CN"/>
                <w14:textFill>
                  <w14:solidFill>
                    <w14:schemeClr w14:val="tx1"/>
                  </w14:solidFill>
                </w14:textFill>
              </w:rPr>
            </w:pPr>
          </w:p>
        </w:tc>
        <w:tc>
          <w:tcPr>
            <w:tcW w:w="1335" w:type="dxa"/>
            <w:vAlign w:val="center"/>
          </w:tcPr>
          <w:p w14:paraId="520A5A23">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kern w:val="0"/>
                <w:sz w:val="24"/>
                <w:szCs w:val="24"/>
                <w14:textFill>
                  <w14:solidFill>
                    <w14:schemeClr w14:val="tx1"/>
                  </w14:solidFill>
                </w14:textFill>
              </w:rPr>
            </w:pPr>
          </w:p>
        </w:tc>
      </w:tr>
      <w:tr w14:paraId="5796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0" w:type="dxa"/>
            <w:vAlign w:val="center"/>
          </w:tcPr>
          <w:p w14:paraId="234669F2">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w:t>
            </w:r>
          </w:p>
        </w:tc>
        <w:tc>
          <w:tcPr>
            <w:tcW w:w="1695" w:type="dxa"/>
            <w:vAlign w:val="center"/>
          </w:tcPr>
          <w:p w14:paraId="198B3735">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
                <w:color w:val="000000" w:themeColor="text1"/>
                <w:sz w:val="24"/>
                <w:szCs w:val="24"/>
                <w14:textFill>
                  <w14:solidFill>
                    <w14:schemeClr w14:val="tx1"/>
                  </w14:solidFill>
                </w14:textFill>
              </w:rPr>
            </w:pPr>
          </w:p>
        </w:tc>
        <w:tc>
          <w:tcPr>
            <w:tcW w:w="1787" w:type="dxa"/>
            <w:vAlign w:val="center"/>
          </w:tcPr>
          <w:p w14:paraId="3F32ED5C">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665" w:type="dxa"/>
            <w:vAlign w:val="center"/>
          </w:tcPr>
          <w:p w14:paraId="3BFE1E42">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812" w:type="dxa"/>
            <w:vAlign w:val="center"/>
          </w:tcPr>
          <w:p w14:paraId="68A66685">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857" w:type="dxa"/>
            <w:vAlign w:val="center"/>
          </w:tcPr>
          <w:p w14:paraId="7B494A7B">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kern w:val="0"/>
                <w:sz w:val="24"/>
                <w:szCs w:val="24"/>
                <w:lang w:eastAsia="zh-CN"/>
                <w14:textFill>
                  <w14:solidFill>
                    <w14:schemeClr w14:val="tx1"/>
                  </w14:solidFill>
                </w14:textFill>
              </w:rPr>
            </w:pPr>
          </w:p>
        </w:tc>
        <w:tc>
          <w:tcPr>
            <w:tcW w:w="1335" w:type="dxa"/>
            <w:vAlign w:val="center"/>
          </w:tcPr>
          <w:p w14:paraId="55F06240">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kern w:val="0"/>
                <w:sz w:val="24"/>
                <w:szCs w:val="24"/>
                <w14:textFill>
                  <w14:solidFill>
                    <w14:schemeClr w14:val="tx1"/>
                  </w14:solidFill>
                </w14:textFill>
              </w:rPr>
            </w:pPr>
          </w:p>
        </w:tc>
      </w:tr>
    </w:tbl>
    <w:p w14:paraId="6615321D">
      <w:pPr>
        <w:keepNext w:val="0"/>
        <w:keepLines w:val="0"/>
        <w:pageBreakBefore w:val="0"/>
        <w:kinsoku/>
        <w:wordWrap/>
        <w:overflowPunct/>
        <w:topLinePunct w:val="0"/>
        <w:autoSpaceDE/>
        <w:autoSpaceDN/>
        <w:bidi w:val="0"/>
        <w:adjustRightInd/>
        <w:snapToGrid/>
        <w:spacing w:line="510" w:lineRule="exact"/>
        <w:ind w:left="-160" w:leftChars="-50" w:right="-160" w:rightChars="-50"/>
        <w:rPr>
          <w:rFonts w:hint="default" w:ascii="Times New Roman" w:hAnsi="Times New Roman" w:eastAsia="宋体" w:cs="Times New Roman"/>
          <w:b/>
          <w:color w:val="000000"/>
          <w:spacing w:val="6"/>
          <w:sz w:val="28"/>
          <w:szCs w:val="28"/>
        </w:rPr>
      </w:pPr>
      <w:r>
        <w:rPr>
          <w:rFonts w:hint="default" w:ascii="Times New Roman" w:hAnsi="Times New Roman" w:eastAsia="宋体" w:cs="Times New Roman"/>
          <w:b/>
          <w:color w:val="000000"/>
          <w:spacing w:val="6"/>
          <w:sz w:val="28"/>
          <w:szCs w:val="28"/>
        </w:rPr>
        <w:t>二、订货方式、配送要求</w:t>
      </w:r>
    </w:p>
    <w:p w14:paraId="42CEDF13">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为了确保供货的及时性或开单的准确性，甲方以邮件、QQ、微信、短信、传真、电话等任意一种方式给乙方下订单，订单需包含</w:t>
      </w:r>
      <w:r>
        <w:rPr>
          <w:rFonts w:hint="default" w:ascii="Times New Roman" w:hAnsi="Times New Roman" w:eastAsia="宋体" w:cs="Times New Roman"/>
          <w:sz w:val="24"/>
          <w:szCs w:val="24"/>
          <w:lang w:eastAsia="zh-CN"/>
        </w:rPr>
        <w:t>卫生材料和医用低值易耗品</w:t>
      </w:r>
      <w:r>
        <w:rPr>
          <w:rFonts w:hint="default" w:ascii="Times New Roman" w:hAnsi="Times New Roman" w:eastAsia="宋体" w:cs="Times New Roman"/>
          <w:sz w:val="24"/>
          <w:szCs w:val="24"/>
        </w:rPr>
        <w:t>品名、规格、单位、数量、价格、厂家，便于乙方准确开单出货，特殊要求须在订单上写好备注。</w:t>
      </w:r>
    </w:p>
    <w:p w14:paraId="77CC2261">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特殊产品订货（不常用或销量较少的项目或产品称之为特殊产品），特殊产品订货甲方以书面、邮件、QQ、微信、短信、传真、电话等任意一种方式给乙方下订单，因货物特殊乙方出货后非特殊原因（如质量问题、到货与订单不符等）甲方不得退货。</w:t>
      </w:r>
    </w:p>
    <w:p w14:paraId="534D0E0C">
      <w:pPr>
        <w:keepNext w:val="0"/>
        <w:keepLines w:val="0"/>
        <w:pageBreakBefore w:val="0"/>
        <w:kinsoku/>
        <w:wordWrap/>
        <w:overflowPunct/>
        <w:topLinePunct w:val="0"/>
        <w:autoSpaceDE/>
        <w:autoSpaceDN/>
        <w:bidi w:val="0"/>
        <w:adjustRightInd/>
        <w:snapToGrid/>
        <w:spacing w:line="510" w:lineRule="exact"/>
        <w:ind w:left="-160" w:leftChars="-50" w:right="-160" w:rightChars="-50" w:firstLine="58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（三）</w:t>
      </w:r>
      <w:r>
        <w:rPr>
          <w:rFonts w:hint="default" w:ascii="Times New Roman" w:hAnsi="Times New Roman" w:eastAsia="宋体" w:cs="Times New Roman"/>
          <w:sz w:val="24"/>
          <w:szCs w:val="24"/>
        </w:rPr>
        <w:t>乙方在收到甲方订单后应及时响应，除因交通中断等不可抗力特殊情况外，</w:t>
      </w:r>
      <w:r>
        <w:rPr>
          <w:rFonts w:hint="default" w:ascii="Times New Roman" w:hAnsi="Times New Roman" w:eastAsia="宋体" w:cs="Times New Roman"/>
          <w:sz w:val="24"/>
          <w:szCs w:val="24"/>
          <w:lang w:val="en-US" w:eastAsia="zh-CN"/>
        </w:rPr>
        <w:t>接到订单后，中标方正常情况下48小时内送达采购人指定地点，特殊情况不得超过72小时，加急情况下需24小时内送达，特殊情况下节假日照常配送</w:t>
      </w:r>
      <w:r>
        <w:rPr>
          <w:rFonts w:hint="default" w:ascii="Times New Roman" w:hAnsi="Times New Roman" w:eastAsia="宋体" w:cs="Times New Roman"/>
          <w:sz w:val="24"/>
          <w:szCs w:val="24"/>
        </w:rPr>
        <w:t>，特殊情况下节假日照常配送。若因乙方原因造成未及时配送，影响科室开展业务，乙方应承担因此给甲方造成的损失，且甲方有权终止合同。乙方配送时需将货品、随货单</w:t>
      </w:r>
      <w:r>
        <w:rPr>
          <w:rFonts w:hint="default" w:ascii="Times New Roman" w:hAnsi="Times New Roman" w:eastAsia="宋体" w:cs="Times New Roman"/>
          <w:sz w:val="24"/>
          <w:szCs w:val="24"/>
          <w:lang w:eastAsia="zh-CN"/>
        </w:rPr>
        <w:t>（出库单）</w:t>
      </w:r>
      <w:r>
        <w:rPr>
          <w:rFonts w:hint="default" w:ascii="Times New Roman" w:hAnsi="Times New Roman" w:eastAsia="宋体" w:cs="Times New Roman"/>
          <w:sz w:val="24"/>
          <w:szCs w:val="24"/>
        </w:rPr>
        <w:t>、发票一起交付甲方。</w:t>
      </w:r>
    </w:p>
    <w:p w14:paraId="4BEFB6FC">
      <w:pPr>
        <w:keepNext w:val="0"/>
        <w:keepLines w:val="0"/>
        <w:pageBreakBefore w:val="0"/>
        <w:kinsoku/>
        <w:wordWrap/>
        <w:overflowPunct/>
        <w:topLinePunct w:val="0"/>
        <w:autoSpaceDE/>
        <w:autoSpaceDN/>
        <w:bidi w:val="0"/>
        <w:adjustRightInd/>
        <w:snapToGrid/>
        <w:spacing w:line="510" w:lineRule="exact"/>
        <w:ind w:left="-160" w:leftChars="-50" w:right="-160" w:rightChars="-50" w:firstLine="585"/>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4"/>
          <w:szCs w:val="24"/>
        </w:rPr>
        <w:t>配送地点：大理市</w:t>
      </w:r>
      <w:r>
        <w:rPr>
          <w:rFonts w:hint="default" w:ascii="Times New Roman" w:hAnsi="Times New Roman" w:eastAsia="宋体" w:cs="Times New Roman"/>
          <w:sz w:val="24"/>
          <w:szCs w:val="24"/>
          <w:lang w:val="en-US" w:eastAsia="zh-CN"/>
        </w:rPr>
        <w:t>满江街道</w:t>
      </w:r>
      <w:r>
        <w:rPr>
          <w:rFonts w:hint="default" w:ascii="Times New Roman" w:hAnsi="Times New Roman" w:eastAsia="宋体" w:cs="Times New Roman"/>
          <w:sz w:val="24"/>
          <w:szCs w:val="24"/>
        </w:rPr>
        <w:t>红山路与太和路交汇处大理州第二人民医院</w:t>
      </w:r>
    </w:p>
    <w:p w14:paraId="17B8AAC9">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三、质量保证</w:t>
      </w:r>
    </w:p>
    <w:p w14:paraId="5A02C9C3">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乙方所配送</w:t>
      </w:r>
      <w:r>
        <w:rPr>
          <w:rFonts w:hint="default" w:ascii="Times New Roman" w:hAnsi="Times New Roman" w:eastAsia="宋体" w:cs="Times New Roman"/>
          <w:sz w:val="24"/>
          <w:szCs w:val="24"/>
          <w:lang w:eastAsia="zh-CN"/>
        </w:rPr>
        <w:t>卫生材料和医用低值易耗品</w:t>
      </w:r>
      <w:r>
        <w:rPr>
          <w:rFonts w:hint="default" w:ascii="Times New Roman" w:hAnsi="Times New Roman" w:eastAsia="宋体" w:cs="Times New Roman"/>
          <w:sz w:val="24"/>
          <w:szCs w:val="24"/>
        </w:rPr>
        <w:t>必须为原厂商未启封全新包装，</w:t>
      </w:r>
      <w:r>
        <w:rPr>
          <w:rFonts w:hint="default" w:ascii="Times New Roman" w:hAnsi="Times New Roman" w:eastAsia="宋体" w:cs="Times New Roman"/>
          <w:b/>
          <w:sz w:val="24"/>
          <w:szCs w:val="24"/>
          <w:u w:val="single"/>
        </w:rPr>
        <w:t>具有出厂合格证</w:t>
      </w:r>
      <w:r>
        <w:rPr>
          <w:rFonts w:hint="default" w:ascii="Times New Roman" w:hAnsi="Times New Roman" w:eastAsia="宋体" w:cs="Times New Roman"/>
          <w:sz w:val="24"/>
          <w:szCs w:val="24"/>
        </w:rPr>
        <w:t>，且不属于长期积压的库存商品，完全符合国家标准或其原厂最新颁布的相应的正式标准，且乙方供应的试剂有效期为总有效期的2/3以上。</w:t>
      </w:r>
    </w:p>
    <w:p w14:paraId="3AC4442A">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乙方须保证甲方在使用该</w:t>
      </w:r>
      <w:r>
        <w:rPr>
          <w:rFonts w:hint="default" w:ascii="Times New Roman" w:hAnsi="Times New Roman" w:eastAsia="宋体" w:cs="Times New Roman"/>
          <w:sz w:val="24"/>
          <w:szCs w:val="24"/>
          <w:lang w:val="en-US" w:eastAsia="zh-CN"/>
        </w:rPr>
        <w:t>试剂耗材</w:t>
      </w:r>
      <w:r>
        <w:rPr>
          <w:rFonts w:hint="default" w:ascii="Times New Roman" w:hAnsi="Times New Roman" w:eastAsia="宋体" w:cs="Times New Roman"/>
          <w:sz w:val="24"/>
          <w:szCs w:val="24"/>
        </w:rPr>
        <w:t>或其任何一部分时，不受到第三方关于侵犯设计技术资料、专利、商标等一切方面的指控。如任何第三方提出侵犯指控，乙方须与第三方交涉并承担可能发生的一切索赔和责任，如甲方因此而遭受损失，乙方应赔偿该损失。</w:t>
      </w:r>
    </w:p>
    <w:p w14:paraId="2EDC23F7">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sz w:val="24"/>
          <w:szCs w:val="24"/>
          <w:lang w:eastAsia="zh-CN"/>
        </w:rPr>
        <w:t>（三）</w:t>
      </w:r>
      <w:r>
        <w:rPr>
          <w:rFonts w:hint="default" w:ascii="Times New Roman" w:hAnsi="Times New Roman" w:eastAsia="宋体" w:cs="Times New Roman"/>
          <w:sz w:val="24"/>
          <w:szCs w:val="24"/>
        </w:rPr>
        <w:t>因产品存在质量缺陷，该产品生产企业执行产品召回的，甲、乙双方有义务配合生产企业对产品进行召回。</w:t>
      </w:r>
    </w:p>
    <w:p w14:paraId="7C6E652C">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4"/>
          <w:szCs w:val="24"/>
          <w:lang w:eastAsia="zh-CN"/>
        </w:rPr>
        <w:t>（四）</w:t>
      </w:r>
      <w:r>
        <w:rPr>
          <w:rFonts w:hint="default" w:ascii="Times New Roman" w:hAnsi="Times New Roman" w:eastAsia="宋体" w:cs="Times New Roman"/>
          <w:sz w:val="24"/>
          <w:szCs w:val="24"/>
        </w:rPr>
        <w:t>因质量原因而产生的经济和法律责任均由乙方承担。</w:t>
      </w:r>
    </w:p>
    <w:p w14:paraId="7CC1D4CC">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四、甲方的义务和权利</w:t>
      </w:r>
    </w:p>
    <w:p w14:paraId="79C7AB14">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甲方正在使用的清单耗材（详细品牌、型号、规格、价格清单附后）按照不高于合同约定价格向乙方采购。 若后期因国家政策变动，</w:t>
      </w:r>
      <w:r>
        <w:rPr>
          <w:rFonts w:hint="default" w:ascii="Times New Roman" w:hAnsi="Times New Roman" w:eastAsia="宋体" w:cs="Times New Roman"/>
          <w:sz w:val="24"/>
          <w:szCs w:val="24"/>
          <w:lang w:val="en-US" w:eastAsia="zh-CN"/>
        </w:rPr>
        <w:t>试剂耗材</w:t>
      </w:r>
      <w:r>
        <w:rPr>
          <w:rFonts w:hint="default" w:ascii="Times New Roman" w:hAnsi="Times New Roman" w:eastAsia="宋体" w:cs="Times New Roman"/>
          <w:sz w:val="24"/>
          <w:szCs w:val="24"/>
          <w:lang w:eastAsia="zh-CN"/>
        </w:rPr>
        <w:t>品</w:t>
      </w:r>
      <w:r>
        <w:rPr>
          <w:rFonts w:hint="default" w:ascii="Times New Roman" w:hAnsi="Times New Roman" w:eastAsia="宋体" w:cs="Times New Roman"/>
          <w:sz w:val="24"/>
          <w:szCs w:val="24"/>
        </w:rPr>
        <w:t>价格变动，则按照国家政策要求进行价格调整后采购。</w:t>
      </w:r>
    </w:p>
    <w:p w14:paraId="33808A9D">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甲方</w:t>
      </w:r>
      <w:r>
        <w:rPr>
          <w:rFonts w:hint="default" w:ascii="Times New Roman" w:hAnsi="Times New Roman" w:eastAsia="宋体" w:cs="Times New Roman"/>
          <w:sz w:val="24"/>
          <w:szCs w:val="24"/>
          <w:lang w:eastAsia="zh-CN"/>
        </w:rPr>
        <w:t>收到</w:t>
      </w:r>
      <w:r>
        <w:rPr>
          <w:rFonts w:hint="default" w:ascii="Times New Roman" w:hAnsi="Times New Roman" w:eastAsia="宋体" w:cs="Times New Roman"/>
          <w:sz w:val="24"/>
          <w:szCs w:val="24"/>
        </w:rPr>
        <w:t>乙方配送的</w:t>
      </w:r>
      <w:r>
        <w:rPr>
          <w:rFonts w:hint="default" w:ascii="Times New Roman" w:hAnsi="Times New Roman" w:eastAsia="宋体" w:cs="Times New Roman"/>
          <w:sz w:val="24"/>
          <w:szCs w:val="24"/>
          <w:lang w:val="en-US" w:eastAsia="zh-CN"/>
        </w:rPr>
        <w:t>试剂耗材后</w:t>
      </w:r>
      <w:r>
        <w:rPr>
          <w:rFonts w:hint="default" w:ascii="Times New Roman" w:hAnsi="Times New Roman" w:eastAsia="宋体" w:cs="Times New Roman"/>
          <w:sz w:val="24"/>
          <w:szCs w:val="24"/>
          <w:lang w:eastAsia="zh-CN"/>
        </w:rPr>
        <w:t>按照</w:t>
      </w:r>
      <w:r>
        <w:rPr>
          <w:rFonts w:hint="default" w:ascii="Times New Roman" w:hAnsi="Times New Roman" w:eastAsia="宋体" w:cs="Times New Roman"/>
          <w:sz w:val="24"/>
          <w:szCs w:val="24"/>
        </w:rPr>
        <w:t>实际数量及随货单</w:t>
      </w:r>
      <w:r>
        <w:rPr>
          <w:rFonts w:hint="default" w:ascii="Times New Roman" w:hAnsi="Times New Roman" w:eastAsia="宋体" w:cs="Times New Roman"/>
          <w:sz w:val="24"/>
          <w:szCs w:val="24"/>
          <w:lang w:eastAsia="zh-CN"/>
        </w:rPr>
        <w:t>（出库单）</w:t>
      </w:r>
      <w:r>
        <w:rPr>
          <w:rFonts w:hint="default" w:ascii="Times New Roman" w:hAnsi="Times New Roman" w:eastAsia="宋体" w:cs="Times New Roman"/>
          <w:sz w:val="24"/>
          <w:szCs w:val="24"/>
        </w:rPr>
        <w:t>验收入库</w:t>
      </w:r>
      <w:r>
        <w:rPr>
          <w:rFonts w:hint="eastAsia" w:ascii="Times New Roman" w:hAnsi="Times New Roman" w:eastAsia="宋体" w:cs="Times New Roman"/>
          <w:sz w:val="24"/>
          <w:szCs w:val="24"/>
          <w:lang w:val="en-US" w:eastAsia="zh-CN"/>
        </w:rPr>
        <w:t>后</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依据</w:t>
      </w:r>
      <w:r>
        <w:rPr>
          <w:rFonts w:hint="default" w:ascii="Times New Roman" w:hAnsi="Times New Roman" w:eastAsia="宋体" w:cs="Times New Roman"/>
          <w:sz w:val="24"/>
          <w:szCs w:val="24"/>
        </w:rPr>
        <w:t>乙方开具的正式发票</w:t>
      </w:r>
      <w:r>
        <w:rPr>
          <w:rFonts w:hint="eastAsia" w:ascii="Times New Roman" w:hAnsi="Times New Roman" w:eastAsia="宋体" w:cs="Times New Roman"/>
          <w:sz w:val="24"/>
          <w:szCs w:val="24"/>
          <w:lang w:val="en-US" w:eastAsia="zh-CN"/>
        </w:rPr>
        <w:t>60日或90日</w:t>
      </w:r>
      <w:r>
        <w:rPr>
          <w:rFonts w:hint="default" w:ascii="Times New Roman" w:hAnsi="Times New Roman" w:eastAsia="宋体" w:cs="Times New Roman"/>
          <w:sz w:val="24"/>
          <w:szCs w:val="24"/>
        </w:rPr>
        <w:t>内付款</w:t>
      </w:r>
      <w:r>
        <w:rPr>
          <w:rFonts w:hint="default" w:ascii="Times New Roman" w:hAnsi="Times New Roman" w:eastAsia="宋体" w:cs="Times New Roman"/>
          <w:sz w:val="24"/>
          <w:szCs w:val="24"/>
          <w:lang w:eastAsia="zh-CN"/>
        </w:rPr>
        <w:t>。</w:t>
      </w:r>
    </w:p>
    <w:p w14:paraId="4E1B8855">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（三）</w:t>
      </w:r>
      <w:r>
        <w:rPr>
          <w:rFonts w:hint="default" w:ascii="Times New Roman" w:hAnsi="Times New Roman" w:eastAsia="宋体" w:cs="Times New Roman"/>
          <w:sz w:val="24"/>
          <w:szCs w:val="24"/>
        </w:rPr>
        <w:t>因甲方对产品存储、管理不当或甲方自行改装、人为操作不当等因素造成产品质量异常的，由此造成的损失由甲方承担；甲方验收合格后，非质量问题通常情况乙方不接受退换货，但遇特殊政策变动，甲方</w:t>
      </w:r>
      <w:r>
        <w:rPr>
          <w:rFonts w:hint="default" w:ascii="Times New Roman" w:hAnsi="Times New Roman" w:eastAsia="宋体" w:cs="Times New Roman"/>
          <w:sz w:val="24"/>
          <w:szCs w:val="24"/>
          <w:lang w:val="en-US" w:eastAsia="zh-CN"/>
        </w:rPr>
        <w:t>试剂耗材</w:t>
      </w:r>
      <w:r>
        <w:rPr>
          <w:rFonts w:hint="default" w:ascii="Times New Roman" w:hAnsi="Times New Roman" w:eastAsia="宋体" w:cs="Times New Roman"/>
          <w:sz w:val="24"/>
          <w:szCs w:val="24"/>
        </w:rPr>
        <w:t>停用或用量突然减少情况下，乙方须尽可能协助甲方退货。因乙方对产品储存、运输、管理不当等因素造成产品质量异常，甲方有权拒收，所造成的损失由乙方承担，因自然灾害等不可抗拒因素造成的损失，甲乙双方协商解决。</w:t>
      </w:r>
    </w:p>
    <w:p w14:paraId="29C04F16">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4"/>
          <w:szCs w:val="24"/>
          <w:lang w:eastAsia="zh-CN"/>
        </w:rPr>
        <w:t>（四）</w:t>
      </w:r>
      <w:r>
        <w:rPr>
          <w:rFonts w:hint="default" w:ascii="Times New Roman" w:hAnsi="Times New Roman" w:eastAsia="宋体" w:cs="Times New Roman"/>
          <w:sz w:val="24"/>
          <w:szCs w:val="24"/>
        </w:rPr>
        <w:t>在遇到国家或上级有关部门进行政策性调整，甲方得知调整政策后，通知乙方，双方根据政策执行，若致使本合同不能进行，甲方可在3个月内单方终止本合同，乙方应予以谅解、支持。</w:t>
      </w:r>
    </w:p>
    <w:p w14:paraId="5FA81B5F">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五、乙方的义务和权利</w:t>
      </w:r>
    </w:p>
    <w:p w14:paraId="5A4C600B">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乙方负责甲方所使用</w:t>
      </w:r>
      <w:r>
        <w:rPr>
          <w:rFonts w:hint="default" w:ascii="Times New Roman" w:hAnsi="Times New Roman" w:eastAsia="宋体" w:cs="Times New Roman"/>
          <w:sz w:val="24"/>
          <w:szCs w:val="24"/>
          <w:lang w:val="en-US" w:eastAsia="zh-CN"/>
        </w:rPr>
        <w:t>试剂耗材</w:t>
      </w:r>
      <w:r>
        <w:rPr>
          <w:rFonts w:hint="default" w:ascii="Times New Roman" w:hAnsi="Times New Roman" w:eastAsia="宋体" w:cs="Times New Roman"/>
          <w:sz w:val="24"/>
          <w:szCs w:val="24"/>
        </w:rPr>
        <w:t>以及相关检验设备的产品技术支持。</w:t>
      </w:r>
    </w:p>
    <w:p w14:paraId="66784E2C">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乙方不得随意变更甲方所使用的</w:t>
      </w:r>
      <w:r>
        <w:rPr>
          <w:rFonts w:hint="default" w:ascii="Times New Roman" w:hAnsi="Times New Roman" w:eastAsia="宋体" w:cs="Times New Roman"/>
          <w:sz w:val="24"/>
          <w:szCs w:val="24"/>
          <w:lang w:eastAsia="zh-CN"/>
        </w:rPr>
        <w:t>卫生材料和医用低值易耗品</w:t>
      </w:r>
      <w:r>
        <w:rPr>
          <w:rFonts w:hint="default" w:ascii="Times New Roman" w:hAnsi="Times New Roman" w:eastAsia="宋体" w:cs="Times New Roman"/>
          <w:sz w:val="24"/>
          <w:szCs w:val="24"/>
        </w:rPr>
        <w:t>的品牌、型号、价格，但甲方提出</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与设备不匹配，需更换品牌型号时，乙方需按照甲方要求进行更换，且更换同型号产品供货单价不变。</w:t>
      </w:r>
    </w:p>
    <w:p w14:paraId="12E03133">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（三）</w:t>
      </w:r>
      <w:r>
        <w:rPr>
          <w:rFonts w:hint="default" w:ascii="Times New Roman" w:hAnsi="Times New Roman" w:eastAsia="宋体" w:cs="Times New Roman"/>
          <w:sz w:val="24"/>
          <w:szCs w:val="24"/>
          <w:lang w:val="en-US" w:eastAsia="zh-CN"/>
        </w:rPr>
        <w:t>所有产品</w:t>
      </w:r>
      <w:r>
        <w:rPr>
          <w:rFonts w:hint="default" w:ascii="Times New Roman" w:hAnsi="Times New Roman" w:eastAsia="宋体" w:cs="Times New Roman"/>
          <w:sz w:val="24"/>
          <w:szCs w:val="24"/>
        </w:rPr>
        <w:t>应使用原厂包装物并必须符合国家有关规定；乙方提供的</w:t>
      </w:r>
      <w:r>
        <w:rPr>
          <w:rFonts w:hint="default" w:ascii="Times New Roman" w:hAnsi="Times New Roman" w:eastAsia="宋体" w:cs="Times New Roman"/>
          <w:sz w:val="24"/>
          <w:szCs w:val="24"/>
          <w:lang w:val="en-US" w:eastAsia="zh-CN"/>
        </w:rPr>
        <w:t>试剂耗材</w:t>
      </w:r>
      <w:r>
        <w:rPr>
          <w:rFonts w:hint="default" w:ascii="Times New Roman" w:hAnsi="Times New Roman" w:eastAsia="宋体" w:cs="Times New Roman"/>
          <w:sz w:val="24"/>
          <w:szCs w:val="24"/>
        </w:rPr>
        <w:t>均应提供适当额外包装，以防止</w:t>
      </w:r>
      <w:r>
        <w:rPr>
          <w:rFonts w:hint="default" w:ascii="Times New Roman" w:hAnsi="Times New Roman" w:eastAsia="宋体" w:cs="Times New Roman"/>
          <w:sz w:val="24"/>
          <w:szCs w:val="24"/>
          <w:lang w:val="en-US" w:eastAsia="zh-CN"/>
        </w:rPr>
        <w:t>试剂耗材</w:t>
      </w:r>
      <w:r>
        <w:rPr>
          <w:rFonts w:hint="default" w:ascii="Times New Roman" w:hAnsi="Times New Roman" w:eastAsia="宋体" w:cs="Times New Roman"/>
          <w:sz w:val="24"/>
          <w:szCs w:val="24"/>
        </w:rPr>
        <w:t>在转运中损坏或变质，包装应能够适应远距离运输、防潮、防震、防变质、防野蛮装卸，以确保</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安全无损运抵指定地点，额外包装不得另行收费。</w:t>
      </w:r>
    </w:p>
    <w:p w14:paraId="4A77CB0A">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（四）</w:t>
      </w:r>
      <w:r>
        <w:rPr>
          <w:rFonts w:hint="default" w:ascii="Times New Roman" w:hAnsi="Times New Roman" w:eastAsia="宋体" w:cs="Times New Roman"/>
          <w:sz w:val="24"/>
          <w:szCs w:val="24"/>
        </w:rPr>
        <w:t>乙方需提供所供</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的生产厂家营业执照、医疗器械生产许可证、注册证或备案凭证及乙方营业执照、医疗器械经营许可证等相关资质，交货时乙方应当提供同批号</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的检验报告等材料。</w:t>
      </w:r>
    </w:p>
    <w:p w14:paraId="0E09768C">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（五）</w:t>
      </w:r>
      <w:r>
        <w:rPr>
          <w:rFonts w:hint="default" w:ascii="Times New Roman" w:hAnsi="Times New Roman" w:eastAsia="宋体" w:cs="Times New Roman"/>
          <w:sz w:val="24"/>
          <w:szCs w:val="24"/>
        </w:rPr>
        <w:t>乙方全权负责</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的质量问题，有义务向甲方提供所需的产品资质文件。</w:t>
      </w:r>
    </w:p>
    <w:p w14:paraId="44DDC0CF">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（六）</w:t>
      </w:r>
      <w:r>
        <w:rPr>
          <w:rFonts w:hint="default" w:ascii="Times New Roman" w:hAnsi="Times New Roman" w:eastAsia="宋体" w:cs="Times New Roman"/>
          <w:sz w:val="24"/>
          <w:szCs w:val="24"/>
        </w:rPr>
        <w:t>遇上级部门对甲方部分</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抽查检定不合格的样品由乙方负责免费更换同批次所有</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，因产品质量问题造成的一切损失由乙方负责。</w:t>
      </w:r>
    </w:p>
    <w:p w14:paraId="54102DD7">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eastAsia="zh-CN"/>
        </w:rPr>
        <w:t>（七）</w:t>
      </w:r>
      <w:r>
        <w:rPr>
          <w:rFonts w:hint="default" w:ascii="Times New Roman" w:hAnsi="Times New Roman" w:eastAsia="宋体" w:cs="Times New Roman"/>
          <w:kern w:val="0"/>
          <w:sz w:val="24"/>
          <w:szCs w:val="24"/>
        </w:rPr>
        <w:t>有特殊储运要求的</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kern w:val="0"/>
          <w:sz w:val="24"/>
          <w:szCs w:val="24"/>
        </w:rPr>
        <w:t>乙方需按照要求进行配送，并提供整个配送过程中的相应记录。</w:t>
      </w:r>
    </w:p>
    <w:p w14:paraId="030A9123">
      <w:pPr>
        <w:keepNext w:val="0"/>
        <w:keepLines w:val="0"/>
        <w:pageBreakBefore w:val="0"/>
        <w:kinsoku/>
        <w:wordWrap/>
        <w:overflowPunct/>
        <w:topLinePunct w:val="0"/>
        <w:autoSpaceDE/>
        <w:autoSpaceDN/>
        <w:bidi w:val="0"/>
        <w:adjustRightInd/>
        <w:snapToGrid/>
        <w:spacing w:line="510" w:lineRule="exact"/>
        <w:ind w:left="-160" w:leftChars="-50" w:right="-160" w:rightChars="-50" w:firstLine="585"/>
        <w:textAlignment w:val="auto"/>
        <w:rPr>
          <w:rFonts w:hint="default" w:ascii="Times New Roman" w:hAnsi="Times New Roman" w:eastAsia="宋体" w:cs="Times New Roman"/>
          <w:kern w:val="0"/>
          <w:sz w:val="28"/>
          <w:szCs w:val="28"/>
          <w:lang w:eastAsia="zh-CN"/>
        </w:rPr>
      </w:pPr>
      <w:r>
        <w:rPr>
          <w:rFonts w:hint="default" w:ascii="Times New Roman" w:hAnsi="Times New Roman" w:eastAsia="宋体" w:cs="Times New Roman"/>
          <w:kern w:val="0"/>
          <w:sz w:val="24"/>
          <w:szCs w:val="24"/>
          <w:lang w:eastAsia="zh-CN"/>
        </w:rPr>
        <w:t>（八）</w:t>
      </w:r>
      <w:r>
        <w:rPr>
          <w:rFonts w:hint="default" w:ascii="Times New Roman" w:hAnsi="Times New Roman" w:eastAsia="宋体" w:cs="Times New Roman"/>
          <w:sz w:val="24"/>
          <w:szCs w:val="24"/>
        </w:rPr>
        <w:t>乙方配送</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时需将货品、随货单</w:t>
      </w:r>
      <w:r>
        <w:rPr>
          <w:rFonts w:hint="default" w:ascii="Times New Roman" w:hAnsi="Times New Roman" w:eastAsia="宋体" w:cs="Times New Roman"/>
          <w:sz w:val="24"/>
          <w:szCs w:val="24"/>
          <w:lang w:eastAsia="zh-CN"/>
        </w:rPr>
        <w:t>（出库单）</w:t>
      </w:r>
      <w:r>
        <w:rPr>
          <w:rFonts w:hint="default" w:ascii="Times New Roman" w:hAnsi="Times New Roman" w:eastAsia="宋体" w:cs="Times New Roman"/>
          <w:sz w:val="24"/>
          <w:szCs w:val="24"/>
        </w:rPr>
        <w:t>、发票</w:t>
      </w:r>
      <w:r>
        <w:rPr>
          <w:rFonts w:hint="default" w:ascii="Times New Roman" w:hAnsi="Times New Roman" w:eastAsia="宋体" w:cs="Times New Roman"/>
          <w:sz w:val="24"/>
          <w:szCs w:val="24"/>
          <w:lang w:eastAsia="zh-CN"/>
        </w:rPr>
        <w:t>同时</w:t>
      </w:r>
      <w:r>
        <w:rPr>
          <w:rFonts w:hint="default" w:ascii="Times New Roman" w:hAnsi="Times New Roman" w:eastAsia="宋体" w:cs="Times New Roman"/>
          <w:sz w:val="24"/>
          <w:szCs w:val="24"/>
        </w:rPr>
        <w:t>交付甲方</w:t>
      </w:r>
      <w:r>
        <w:rPr>
          <w:rFonts w:hint="default" w:ascii="Times New Roman" w:hAnsi="Times New Roman" w:eastAsia="宋体" w:cs="Times New Roman"/>
          <w:sz w:val="24"/>
          <w:szCs w:val="24"/>
          <w:lang w:eastAsia="zh-CN"/>
        </w:rPr>
        <w:t>，若无法开具发票时需出具情况说明给甲方，并于次月月初开具发票给甲方</w:t>
      </w:r>
      <w:r>
        <w:rPr>
          <w:rFonts w:hint="default" w:ascii="Times New Roman" w:hAnsi="Times New Roman" w:eastAsia="宋体" w:cs="Times New Roman"/>
          <w:sz w:val="24"/>
          <w:szCs w:val="24"/>
        </w:rPr>
        <w:t>。</w:t>
      </w:r>
    </w:p>
    <w:p w14:paraId="7E2550D0">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六、验收标准</w:t>
      </w:r>
    </w:p>
    <w:p w14:paraId="5833326E">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4"/>
          <w:szCs w:val="24"/>
        </w:rPr>
        <w:t>按国家药品及医疗器械相关质量标准验收，甲方收到乙方送来的产品，应照单验收，核对无误后在随货同行单上签字确认；甲方对不符合质量、有效期、包装和订单数量要求的产品，有权拒绝接收，乙方应对不符合要求的产品及时进行更换，不得影响甲方的使用。甲方因使用、保管、保养不善等自身原因造成产品失效或质量下降的，后果自负。</w:t>
      </w:r>
    </w:p>
    <w:p w14:paraId="391DFD69">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七、售后服务责任</w:t>
      </w:r>
    </w:p>
    <w:p w14:paraId="0314B68F">
      <w:pPr>
        <w:keepNext w:val="0"/>
        <w:keepLines w:val="0"/>
        <w:pageBreakBefore w:val="0"/>
        <w:kinsoku/>
        <w:wordWrap/>
        <w:overflowPunct/>
        <w:topLinePunct w:val="0"/>
        <w:autoSpaceDE/>
        <w:autoSpaceDN/>
        <w:bidi w:val="0"/>
        <w:adjustRightInd/>
        <w:snapToGrid/>
        <w:spacing w:line="51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在使用期间乙方须免费提供检验技术指导等售后服务，</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使用过程中发生非正常现象，乙方须积极联系解决。</w:t>
      </w:r>
    </w:p>
    <w:p w14:paraId="16408177">
      <w:pPr>
        <w:keepNext w:val="0"/>
        <w:keepLines w:val="0"/>
        <w:pageBreakBefore w:val="0"/>
        <w:kinsoku/>
        <w:wordWrap/>
        <w:overflowPunct/>
        <w:topLinePunct w:val="0"/>
        <w:autoSpaceDE/>
        <w:autoSpaceDN/>
        <w:bidi w:val="0"/>
        <w:adjustRightInd/>
        <w:snapToGrid/>
        <w:spacing w:line="510" w:lineRule="exact"/>
        <w:ind w:firstLine="48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4"/>
          <w:szCs w:val="24"/>
          <w:lang w:eastAsia="zh-CN"/>
        </w:rPr>
        <w:t>（二）卫</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因运输或厂家质量管理漏洞出现产品质量问题造成失效时，乙方需在7天内更换相关问题产品。</w:t>
      </w:r>
    </w:p>
    <w:p w14:paraId="3FCA4265">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八</w:t>
      </w:r>
      <w:r>
        <w:rPr>
          <w:rFonts w:hint="default" w:ascii="Times New Roman" w:hAnsi="Times New Roman" w:eastAsia="宋体" w:cs="Times New Roman"/>
          <w:sz w:val="28"/>
          <w:szCs w:val="28"/>
        </w:rPr>
        <w:t>、</w:t>
      </w:r>
      <w:r>
        <w:rPr>
          <w:rFonts w:hint="default" w:ascii="Times New Roman" w:hAnsi="Times New Roman" w:eastAsia="宋体" w:cs="Times New Roman"/>
          <w:b/>
          <w:sz w:val="28"/>
          <w:szCs w:val="28"/>
        </w:rPr>
        <w:t>付款方式和时间</w:t>
      </w:r>
    </w:p>
    <w:p w14:paraId="185C77E5">
      <w:pPr>
        <w:keepNext w:val="0"/>
        <w:keepLines w:val="0"/>
        <w:pageBreakBefore w:val="0"/>
        <w:kinsoku/>
        <w:wordWrap/>
        <w:overflowPunct/>
        <w:topLinePunct w:val="0"/>
        <w:autoSpaceDE/>
        <w:autoSpaceDN/>
        <w:bidi w:val="0"/>
        <w:adjustRightInd/>
        <w:snapToGrid/>
        <w:spacing w:line="510" w:lineRule="exact"/>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付款方式</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若供应商规模属于中小微企业类型</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：对公转账付款，</w:t>
      </w:r>
      <w:r>
        <w:rPr>
          <w:rFonts w:hint="default" w:ascii="Times New Roman" w:hAnsi="Times New Roman" w:eastAsia="宋体" w:cs="Times New Roman"/>
          <w:sz w:val="24"/>
          <w:szCs w:val="24"/>
          <w:lang w:val="en-US" w:eastAsia="zh-CN"/>
        </w:rPr>
        <w:t>甲方收到乙方配送的试剂耗材后按照实际数量及随货单（出库单）验收入库</w:t>
      </w:r>
      <w:r>
        <w:rPr>
          <w:rFonts w:hint="eastAsia" w:ascii="Times New Roman" w:hAnsi="Times New Roman" w:eastAsia="宋体" w:cs="Times New Roman"/>
          <w:sz w:val="24"/>
          <w:szCs w:val="24"/>
          <w:lang w:val="en-US" w:eastAsia="zh-CN"/>
        </w:rPr>
        <w:t>后</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依据</w:t>
      </w:r>
      <w:r>
        <w:rPr>
          <w:rFonts w:hint="default" w:ascii="Times New Roman" w:hAnsi="Times New Roman" w:eastAsia="宋体" w:cs="Times New Roman"/>
          <w:sz w:val="24"/>
          <w:szCs w:val="24"/>
          <w:lang w:val="en-US" w:eastAsia="zh-CN"/>
        </w:rPr>
        <w:t>乙方开具的正式发票</w:t>
      </w:r>
      <w:r>
        <w:rPr>
          <w:rFonts w:hint="eastAsia" w:ascii="Times New Roman" w:hAnsi="Times New Roman" w:eastAsia="宋体" w:cs="Times New Roman"/>
          <w:sz w:val="24"/>
          <w:szCs w:val="24"/>
          <w:lang w:val="en-US" w:eastAsia="zh-CN"/>
        </w:rPr>
        <w:t>60日</w:t>
      </w:r>
      <w:r>
        <w:rPr>
          <w:rFonts w:hint="default" w:ascii="Times New Roman" w:hAnsi="Times New Roman" w:eastAsia="宋体" w:cs="Times New Roman"/>
          <w:sz w:val="24"/>
          <w:szCs w:val="24"/>
          <w:lang w:val="en-US" w:eastAsia="zh-CN"/>
        </w:rPr>
        <w:t>内付款。</w:t>
      </w:r>
    </w:p>
    <w:p w14:paraId="6AEC57DB">
      <w:pPr>
        <w:keepNext w:val="0"/>
        <w:keepLines w:val="0"/>
        <w:pageBreakBefore w:val="0"/>
        <w:kinsoku/>
        <w:wordWrap/>
        <w:overflowPunct/>
        <w:topLinePunct w:val="0"/>
        <w:autoSpaceDE/>
        <w:autoSpaceDN/>
        <w:bidi w:val="0"/>
        <w:adjustRightInd/>
        <w:snapToGrid/>
        <w:spacing w:line="510" w:lineRule="exact"/>
        <w:ind w:firstLine="480" w:firstLineChars="200"/>
        <w:jc w:val="left"/>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付款方式2（若供应商规模属于大型企业类型）：</w:t>
      </w:r>
      <w:r>
        <w:rPr>
          <w:rFonts w:hint="default" w:ascii="Times New Roman" w:hAnsi="Times New Roman" w:eastAsia="宋体" w:cs="Times New Roman"/>
          <w:sz w:val="24"/>
          <w:szCs w:val="24"/>
        </w:rPr>
        <w:t>对公转账付款，</w:t>
      </w:r>
      <w:r>
        <w:rPr>
          <w:rFonts w:hint="default" w:ascii="Times New Roman" w:hAnsi="Times New Roman" w:eastAsia="宋体" w:cs="Times New Roman"/>
          <w:sz w:val="24"/>
          <w:szCs w:val="24"/>
          <w:lang w:val="en-US" w:eastAsia="zh-CN"/>
        </w:rPr>
        <w:t>甲方收到乙方配送的试剂耗材后按照实际数量及随货单（出库单）验收入库</w:t>
      </w:r>
      <w:r>
        <w:rPr>
          <w:rFonts w:hint="eastAsia" w:ascii="Times New Roman" w:hAnsi="Times New Roman" w:eastAsia="宋体" w:cs="Times New Roman"/>
          <w:sz w:val="24"/>
          <w:szCs w:val="24"/>
          <w:lang w:val="en-US" w:eastAsia="zh-CN"/>
        </w:rPr>
        <w:t>后</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依据</w:t>
      </w:r>
      <w:r>
        <w:rPr>
          <w:rFonts w:hint="default" w:ascii="Times New Roman" w:hAnsi="Times New Roman" w:eastAsia="宋体" w:cs="Times New Roman"/>
          <w:sz w:val="24"/>
          <w:szCs w:val="24"/>
          <w:lang w:val="en-US" w:eastAsia="zh-CN"/>
        </w:rPr>
        <w:t>乙方开具的正式发票</w:t>
      </w:r>
      <w:r>
        <w:rPr>
          <w:rFonts w:hint="eastAsia" w:ascii="Times New Roman" w:hAnsi="Times New Roman" w:eastAsia="宋体" w:cs="Times New Roman"/>
          <w:sz w:val="24"/>
          <w:szCs w:val="24"/>
          <w:lang w:val="en-US" w:eastAsia="zh-CN"/>
        </w:rPr>
        <w:t>90日</w:t>
      </w:r>
      <w:r>
        <w:rPr>
          <w:rFonts w:hint="default" w:ascii="Times New Roman" w:hAnsi="Times New Roman" w:eastAsia="宋体" w:cs="Times New Roman"/>
          <w:sz w:val="24"/>
          <w:szCs w:val="24"/>
          <w:lang w:val="en-US" w:eastAsia="zh-CN"/>
        </w:rPr>
        <w:t>内付款</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w:t>
      </w:r>
    </w:p>
    <w:p w14:paraId="3B6BECA6">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default" w:ascii="Times New Roman" w:hAnsi="Times New Roman" w:eastAsia="宋体" w:cs="Times New Roman"/>
          <w:sz w:val="30"/>
          <w:szCs w:val="30"/>
        </w:rPr>
      </w:pPr>
      <w:r>
        <w:rPr>
          <w:rFonts w:hint="default" w:ascii="Times New Roman" w:hAnsi="Times New Roman" w:eastAsia="宋体" w:cs="Times New Roman"/>
          <w:b/>
          <w:sz w:val="28"/>
          <w:szCs w:val="28"/>
        </w:rPr>
        <w:t>九、</w:t>
      </w:r>
      <w:r>
        <w:rPr>
          <w:rFonts w:hint="default" w:ascii="Times New Roman" w:hAnsi="Times New Roman" w:eastAsia="宋体" w:cs="Times New Roman"/>
          <w:sz w:val="24"/>
          <w:szCs w:val="24"/>
        </w:rPr>
        <w:t>乙方（供货方）如没有按照合同约定的付款方式和时间提供发票进行结算，或者提供的发票和结算材料与实际采购数量、品种和金额不符导致无法办理结算付款的，甲方有权不支付货款，情况严重的，甲方有权终止合同，由此产生的责任由乙方承担。</w:t>
      </w:r>
    </w:p>
    <w:p w14:paraId="62324B74">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十、</w:t>
      </w:r>
      <w:r>
        <w:rPr>
          <w:rFonts w:hint="default" w:ascii="Times New Roman" w:hAnsi="Times New Roman" w:eastAsia="宋体" w:cs="Times New Roman"/>
          <w:sz w:val="24"/>
          <w:szCs w:val="24"/>
        </w:rPr>
        <w:t>因产品的质量问题发生争议，可由双方共同委托有资质的质量检测部门进行质量鉴定，检测鉴定费用由乙方负责。合同履行过程中如发生纠纷，当事人双方应当及时协商解决，协商不成时，任何一方均可向甲方所在地人民法院提起诉讼。</w:t>
      </w:r>
    </w:p>
    <w:p w14:paraId="141A2251">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default" w:ascii="Times New Roman" w:hAnsi="Times New Roman" w:eastAsia="宋体" w:cs="Times New Roman"/>
          <w:bCs/>
          <w:sz w:val="28"/>
          <w:szCs w:val="28"/>
        </w:rPr>
      </w:pPr>
      <w:r>
        <w:rPr>
          <w:rFonts w:hint="default" w:ascii="Times New Roman" w:hAnsi="Times New Roman" w:eastAsia="宋体" w:cs="Times New Roman"/>
          <w:b/>
          <w:sz w:val="28"/>
          <w:szCs w:val="28"/>
        </w:rPr>
        <w:t>十一、</w:t>
      </w:r>
      <w:r>
        <w:rPr>
          <w:rFonts w:hint="default" w:ascii="Times New Roman" w:hAnsi="Times New Roman" w:eastAsia="宋体" w:cs="Times New Roman"/>
          <w:bCs/>
          <w:sz w:val="24"/>
          <w:szCs w:val="24"/>
        </w:rPr>
        <w:t>本合同生效后，如有一方违约，守约方为维护权益，向违约方追偿的一切费用，包括但不限于律师费、诉讼费、保全费、鉴定费、差旅费等由违约方承担。</w:t>
      </w:r>
    </w:p>
    <w:p w14:paraId="43CE0399">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十</w:t>
      </w:r>
      <w:r>
        <w:rPr>
          <w:rFonts w:hint="eastAsia" w:ascii="Times New Roman" w:hAnsi="Times New Roman" w:eastAsia="宋体" w:cs="Times New Roman"/>
          <w:b/>
          <w:sz w:val="28"/>
          <w:szCs w:val="28"/>
          <w:lang w:val="en-US" w:eastAsia="zh-CN"/>
        </w:rPr>
        <w:t>二</w:t>
      </w:r>
      <w:r>
        <w:rPr>
          <w:rFonts w:hint="default" w:ascii="Times New Roman" w:hAnsi="Times New Roman" w:eastAsia="宋体" w:cs="Times New Roman"/>
          <w:b/>
          <w:sz w:val="28"/>
          <w:szCs w:val="28"/>
        </w:rPr>
        <w:t>、</w:t>
      </w:r>
      <w:r>
        <w:rPr>
          <w:rFonts w:hint="eastAsia" w:ascii="Times New Roman" w:hAnsi="Times New Roman" w:eastAsia="宋体" w:cs="Times New Roman"/>
          <w:sz w:val="24"/>
          <w:szCs w:val="24"/>
        </w:rPr>
        <w:t>服务期限两年，合同一年一签，</w:t>
      </w:r>
      <w:r>
        <w:rPr>
          <w:rFonts w:hint="eastAsia" w:ascii="Times New Roman" w:hAnsi="Times New Roman" w:eastAsia="宋体" w:cs="Times New Roman"/>
          <w:sz w:val="24"/>
          <w:szCs w:val="24"/>
          <w:lang w:val="en-US" w:eastAsia="zh-CN"/>
        </w:rPr>
        <w:t>在签订第二年合同前，双方须就供货单价重新进行协商谈判，且新签订的供货单价不得高于上一年度供货单价。若在合同履行期间出现上级政策调整（如集采政策发布等情况），则以最新上级政策规定为准，优先遵照执行。</w:t>
      </w:r>
      <w:r>
        <w:rPr>
          <w:rFonts w:hint="eastAsia" w:ascii="Times New Roman" w:hAnsi="Times New Roman" w:eastAsia="宋体" w:cs="Times New Roman"/>
          <w:bCs/>
          <w:sz w:val="24"/>
          <w:szCs w:val="24"/>
        </w:rPr>
        <w:t>本合同为第</w:t>
      </w:r>
      <w:r>
        <w:rPr>
          <w:rFonts w:hint="eastAsia" w:ascii="Times New Roman" w:hAnsi="Times New Roman" w:eastAsia="宋体" w:cs="Times New Roman"/>
          <w:bCs/>
          <w:sz w:val="24"/>
          <w:szCs w:val="24"/>
          <w:lang w:val="en-US" w:eastAsia="zh-CN"/>
        </w:rPr>
        <w:t>一</w:t>
      </w:r>
      <w:r>
        <w:rPr>
          <w:rFonts w:hint="eastAsia" w:ascii="Times New Roman" w:hAnsi="Times New Roman" w:eastAsia="宋体" w:cs="Times New Roman"/>
          <w:bCs/>
          <w:sz w:val="24"/>
          <w:szCs w:val="24"/>
        </w:rPr>
        <w:t>年供货合同，自</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rPr>
        <w:t>年</w:t>
      </w:r>
      <w:r>
        <w:rPr>
          <w:rFonts w:hint="eastAsia" w:ascii="Times New Roman" w:hAnsi="Times New Roman" w:eastAsia="宋体" w:cs="Times New Roman"/>
          <w:bCs/>
          <w:sz w:val="24"/>
          <w:szCs w:val="24"/>
          <w:u w:val="single"/>
        </w:rPr>
        <w:t>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rPr>
        <w:t>月</w:t>
      </w:r>
      <w:r>
        <w:rPr>
          <w:rFonts w:hint="eastAsia" w:ascii="Times New Roman" w:hAnsi="Times New Roman" w:eastAsia="宋体" w:cs="Times New Roman"/>
          <w:bCs/>
          <w:sz w:val="24"/>
          <w:szCs w:val="24"/>
          <w:u w:val="single"/>
        </w:rPr>
        <w:t>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rPr>
        <w:t>日至</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rPr>
        <w:t>年</w:t>
      </w:r>
      <w:r>
        <w:rPr>
          <w:rFonts w:hint="eastAsia" w:ascii="Times New Roman" w:hAnsi="Times New Roman" w:eastAsia="宋体" w:cs="Times New Roman"/>
          <w:bCs/>
          <w:sz w:val="24"/>
          <w:szCs w:val="24"/>
          <w:u w:val="single"/>
        </w:rPr>
        <w:t>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u w:val="single"/>
        </w:rPr>
        <w:t>   </w:t>
      </w:r>
      <w:r>
        <w:rPr>
          <w:rFonts w:hint="eastAsia" w:ascii="Times New Roman" w:hAnsi="Times New Roman" w:eastAsia="宋体" w:cs="Times New Roman"/>
          <w:bCs/>
          <w:sz w:val="24"/>
          <w:szCs w:val="24"/>
        </w:rPr>
        <w:t>月</w:t>
      </w:r>
      <w:r>
        <w:rPr>
          <w:rFonts w:hint="eastAsia" w:ascii="Times New Roman" w:hAnsi="Times New Roman" w:eastAsia="宋体" w:cs="Times New Roman"/>
          <w:bCs/>
          <w:sz w:val="24"/>
          <w:szCs w:val="24"/>
          <w:u w:val="single"/>
        </w:rPr>
        <w:t>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rPr>
        <w:t>日。</w:t>
      </w:r>
    </w:p>
    <w:p w14:paraId="49996A48">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default" w:ascii="Times New Roman" w:hAnsi="Times New Roman" w:eastAsia="宋体" w:cs="Times New Roman"/>
          <w:bCs/>
          <w:sz w:val="28"/>
          <w:szCs w:val="28"/>
        </w:rPr>
      </w:pPr>
      <w:r>
        <w:rPr>
          <w:rFonts w:hint="default" w:ascii="Times New Roman" w:hAnsi="Times New Roman" w:eastAsia="宋体" w:cs="Times New Roman"/>
          <w:b/>
          <w:sz w:val="28"/>
          <w:szCs w:val="28"/>
        </w:rPr>
        <w:t>十</w:t>
      </w:r>
      <w:r>
        <w:rPr>
          <w:rFonts w:hint="eastAsia" w:ascii="Times New Roman" w:hAnsi="Times New Roman" w:eastAsia="宋体" w:cs="Times New Roman"/>
          <w:b/>
          <w:sz w:val="28"/>
          <w:szCs w:val="28"/>
          <w:lang w:val="en-US" w:eastAsia="zh-CN"/>
        </w:rPr>
        <w:t>三</w:t>
      </w:r>
      <w:r>
        <w:rPr>
          <w:rFonts w:hint="default" w:ascii="Times New Roman" w:hAnsi="Times New Roman" w:eastAsia="宋体" w:cs="Times New Roman"/>
          <w:b/>
          <w:sz w:val="28"/>
          <w:szCs w:val="28"/>
        </w:rPr>
        <w:t>、</w:t>
      </w:r>
      <w:r>
        <w:rPr>
          <w:rFonts w:hint="default" w:ascii="Times New Roman" w:hAnsi="Times New Roman" w:eastAsia="宋体" w:cs="Times New Roman"/>
          <w:bCs/>
          <w:sz w:val="24"/>
          <w:szCs w:val="24"/>
        </w:rPr>
        <w:t>甲乙双方须严格执行国家和云南省廉政建设有关条款，并签订医药产品廉洁购销合同。一方如有违反，另一方有权制止，直至向纪检监察部门举报查处。</w:t>
      </w:r>
    </w:p>
    <w:p w14:paraId="30316B2F">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eastAsia" w:ascii="Times New Roman" w:hAnsi="Times New Roman" w:eastAsia="宋体" w:cs="Times New Roman"/>
          <w:bCs/>
          <w:sz w:val="24"/>
          <w:szCs w:val="24"/>
        </w:rPr>
      </w:pPr>
      <w:r>
        <w:rPr>
          <w:rFonts w:hint="eastAsia" w:ascii="Times New Roman" w:hAnsi="Times New Roman" w:eastAsia="宋体" w:cs="Times New Roman"/>
          <w:b/>
          <w:bCs/>
          <w:sz w:val="28"/>
          <w:szCs w:val="28"/>
        </w:rPr>
        <w:t>十</w:t>
      </w:r>
      <w:r>
        <w:rPr>
          <w:rFonts w:hint="eastAsia" w:ascii="Times New Roman" w:hAnsi="Times New Roman" w:eastAsia="宋体" w:cs="Times New Roman"/>
          <w:b/>
          <w:bCs/>
          <w:sz w:val="28"/>
          <w:szCs w:val="28"/>
          <w:lang w:val="en-US" w:eastAsia="zh-CN"/>
        </w:rPr>
        <w:t>四</w:t>
      </w:r>
      <w:r>
        <w:rPr>
          <w:rFonts w:hint="eastAsia" w:ascii="Times New Roman" w:hAnsi="Times New Roman" w:eastAsia="宋体" w:cs="Times New Roman"/>
          <w:b/>
          <w:bCs/>
          <w:sz w:val="28"/>
          <w:szCs w:val="28"/>
        </w:rPr>
        <w:t>、</w:t>
      </w:r>
      <w:r>
        <w:rPr>
          <w:rFonts w:hint="eastAsia" w:ascii="Times New Roman" w:hAnsi="Times New Roman" w:eastAsia="宋体" w:cs="Times New Roman"/>
          <w:bCs/>
          <w:sz w:val="24"/>
          <w:szCs w:val="24"/>
        </w:rPr>
        <w:t>本合同不可分割部分</w:t>
      </w:r>
    </w:p>
    <w:p w14:paraId="284A88CC">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eastAsia" w:ascii="Times New Roman" w:hAnsi="Times New Roman" w:eastAsia="宋体" w:cs="Times New Roman"/>
          <w:bCs/>
          <w:sz w:val="24"/>
          <w:szCs w:val="24"/>
        </w:rPr>
      </w:pPr>
      <w:r>
        <w:rPr>
          <w:rFonts w:hint="eastAsia" w:ascii="Times New Roman" w:hAnsi="Times New Roman" w:eastAsia="宋体" w:cs="Times New Roman"/>
          <w:bCs/>
          <w:sz w:val="24"/>
          <w:szCs w:val="24"/>
        </w:rPr>
        <w:t>（一）采购文件。</w:t>
      </w:r>
    </w:p>
    <w:p w14:paraId="33434E8B">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eastAsia" w:ascii="Times New Roman" w:hAnsi="Times New Roman" w:eastAsia="宋体" w:cs="Times New Roman"/>
          <w:bCs/>
          <w:sz w:val="24"/>
          <w:szCs w:val="24"/>
        </w:rPr>
      </w:pPr>
      <w:r>
        <w:rPr>
          <w:rFonts w:hint="eastAsia" w:ascii="Times New Roman" w:hAnsi="Times New Roman" w:eastAsia="宋体" w:cs="Times New Roman"/>
          <w:bCs/>
          <w:sz w:val="24"/>
          <w:szCs w:val="24"/>
        </w:rPr>
        <w:t>（二）中标（成交）通知书。</w:t>
      </w:r>
    </w:p>
    <w:p w14:paraId="42692248">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eastAsia" w:ascii="Times New Roman" w:hAnsi="Times New Roman" w:eastAsia="宋体" w:cs="Times New Roman"/>
          <w:bCs/>
          <w:sz w:val="24"/>
          <w:szCs w:val="24"/>
        </w:rPr>
      </w:pPr>
      <w:r>
        <w:rPr>
          <w:rFonts w:hint="eastAsia" w:ascii="Times New Roman" w:hAnsi="Times New Roman" w:eastAsia="宋体" w:cs="Times New Roman"/>
          <w:bCs/>
          <w:sz w:val="24"/>
          <w:szCs w:val="24"/>
        </w:rPr>
        <w:t>（三）乙方的投标文件、项目评审时投标人代表对投标文件作出的澄清、承诺。</w:t>
      </w:r>
    </w:p>
    <w:p w14:paraId="4524BCB8">
      <w:pPr>
        <w:keepNext w:val="0"/>
        <w:keepLines w:val="0"/>
        <w:pageBreakBefore w:val="0"/>
        <w:widowControl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
          <w:bCs/>
          <w:sz w:val="28"/>
          <w:szCs w:val="28"/>
        </w:rPr>
        <w:t>十</w:t>
      </w:r>
      <w:r>
        <w:rPr>
          <w:rFonts w:hint="eastAsia" w:ascii="Times New Roman" w:hAnsi="Times New Roman" w:eastAsia="宋体" w:cs="Times New Roman"/>
          <w:b/>
          <w:bCs/>
          <w:sz w:val="28"/>
          <w:szCs w:val="28"/>
          <w:lang w:val="en-US" w:eastAsia="zh-CN"/>
        </w:rPr>
        <w:t>五</w:t>
      </w:r>
      <w:r>
        <w:rPr>
          <w:rFonts w:hint="default" w:ascii="Times New Roman" w:hAnsi="Times New Roman" w:eastAsia="宋体" w:cs="Times New Roman"/>
          <w:b/>
          <w:bCs/>
          <w:sz w:val="28"/>
          <w:szCs w:val="28"/>
        </w:rPr>
        <w:t>、</w:t>
      </w:r>
      <w:r>
        <w:rPr>
          <w:rFonts w:hint="default" w:ascii="Times New Roman" w:hAnsi="Times New Roman" w:eastAsia="宋体" w:cs="Times New Roman"/>
          <w:bCs/>
          <w:sz w:val="24"/>
          <w:szCs w:val="24"/>
        </w:rPr>
        <w:t>本合同一式</w:t>
      </w:r>
      <w:r>
        <w:rPr>
          <w:rFonts w:hint="default" w:ascii="Times New Roman" w:hAnsi="Times New Roman" w:eastAsia="宋体" w:cs="Times New Roman"/>
          <w:bCs/>
          <w:sz w:val="24"/>
          <w:szCs w:val="24"/>
          <w:lang w:val="en-US" w:eastAsia="zh-CN"/>
        </w:rPr>
        <w:t>六</w:t>
      </w:r>
      <w:r>
        <w:rPr>
          <w:rFonts w:hint="default" w:ascii="Times New Roman" w:hAnsi="Times New Roman" w:eastAsia="宋体" w:cs="Times New Roman"/>
          <w:bCs/>
          <w:sz w:val="24"/>
          <w:szCs w:val="24"/>
        </w:rPr>
        <w:t>份，甲方</w:t>
      </w:r>
      <w:r>
        <w:rPr>
          <w:rFonts w:hint="default" w:ascii="Times New Roman" w:hAnsi="Times New Roman" w:eastAsia="宋体" w:cs="Times New Roman"/>
          <w:bCs/>
          <w:sz w:val="24"/>
          <w:szCs w:val="24"/>
          <w:lang w:val="en-US" w:eastAsia="zh-CN"/>
        </w:rPr>
        <w:t>五</w:t>
      </w:r>
      <w:r>
        <w:rPr>
          <w:rFonts w:hint="default" w:ascii="Times New Roman" w:hAnsi="Times New Roman" w:eastAsia="宋体" w:cs="Times New Roman"/>
          <w:bCs/>
          <w:sz w:val="24"/>
          <w:szCs w:val="24"/>
        </w:rPr>
        <w:t>份，乙方一份，具有同等的法律效力。</w:t>
      </w:r>
    </w:p>
    <w:p w14:paraId="6FE246B4">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rPr>
      </w:pPr>
      <w:r>
        <w:rPr>
          <w:rFonts w:hint="default" w:ascii="Times New Roman" w:hAnsi="Times New Roman" w:eastAsia="宋体" w:cs="Times New Roman"/>
          <w:b/>
          <w:bCs/>
          <w:sz w:val="28"/>
          <w:szCs w:val="28"/>
        </w:rPr>
        <w:t>十</w:t>
      </w:r>
      <w:r>
        <w:rPr>
          <w:rFonts w:hint="eastAsia" w:ascii="Times New Roman" w:hAnsi="Times New Roman" w:eastAsia="宋体" w:cs="Times New Roman"/>
          <w:b/>
          <w:bCs/>
          <w:sz w:val="28"/>
          <w:szCs w:val="28"/>
          <w:lang w:val="en-US" w:eastAsia="zh-CN"/>
        </w:rPr>
        <w:t>六</w:t>
      </w:r>
      <w:r>
        <w:rPr>
          <w:rFonts w:hint="default" w:ascii="Times New Roman" w:hAnsi="Times New Roman" w:eastAsia="宋体" w:cs="Times New Roman"/>
          <w:b/>
          <w:bCs/>
          <w:sz w:val="28"/>
          <w:szCs w:val="28"/>
        </w:rPr>
        <w:t>、</w:t>
      </w:r>
      <w:r>
        <w:rPr>
          <w:rFonts w:hint="eastAsia" w:ascii="Times New Roman" w:hAnsi="Times New Roman" w:eastAsia="宋体" w:cs="Times New Roman"/>
          <w:bCs/>
          <w:sz w:val="24"/>
          <w:szCs w:val="24"/>
        </w:rPr>
        <w:t>本合同自</w:t>
      </w:r>
      <w:r>
        <w:rPr>
          <w:rFonts w:hint="eastAsia" w:ascii="Times New Roman" w:hAnsi="Times New Roman" w:eastAsia="宋体" w:cs="Times New Roman"/>
          <w:bCs/>
          <w:sz w:val="24"/>
          <w:szCs w:val="24"/>
          <w:lang w:val="en-US" w:eastAsia="zh-CN"/>
        </w:rPr>
        <w:t>双方</w:t>
      </w:r>
      <w:r>
        <w:rPr>
          <w:rFonts w:hint="eastAsia" w:ascii="Times New Roman" w:hAnsi="Times New Roman" w:eastAsia="宋体" w:cs="Times New Roman"/>
          <w:bCs/>
          <w:sz w:val="24"/>
          <w:szCs w:val="24"/>
        </w:rPr>
        <w:t>签字盖章之日起生效，未尽事宜，由甲乙双方协商解决。</w:t>
      </w:r>
    </w:p>
    <w:p w14:paraId="793D23E6">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p>
    <w:p w14:paraId="032D3DA1">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甲方开票信息</w:t>
      </w:r>
    </w:p>
    <w:p w14:paraId="7C5D53BF">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名称：大理白族自治州精神病医院（大理白族自治州第二人民医院）</w:t>
      </w:r>
    </w:p>
    <w:p w14:paraId="1BEE6896">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纳税人识别号：12532900432545899G</w:t>
      </w:r>
    </w:p>
    <w:p w14:paraId="0442E854">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地址：大理市下关镇满江片区红山路与太和路交汇处 </w:t>
      </w:r>
    </w:p>
    <w:p w14:paraId="07520A53">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电话：0872-2193756</w:t>
      </w:r>
    </w:p>
    <w:p w14:paraId="734E58C0">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开户行：交通银行大理分行 </w:t>
      </w:r>
    </w:p>
    <w:p w14:paraId="44147D28">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账号：539539350018010028866</w:t>
      </w:r>
    </w:p>
    <w:p w14:paraId="75FA6E67">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p>
    <w:p w14:paraId="0391D384">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乙方开票信息</w:t>
      </w:r>
    </w:p>
    <w:p w14:paraId="6F65B3A4">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w:t>
      </w:r>
    </w:p>
    <w:p w14:paraId="0E319885">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纳税人识别号：</w:t>
      </w:r>
    </w:p>
    <w:p w14:paraId="6F5217FF">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w:t>
      </w:r>
    </w:p>
    <w:p w14:paraId="3237C51F">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w:t>
      </w:r>
    </w:p>
    <w:p w14:paraId="37CD6B0D">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开户行：</w:t>
      </w:r>
    </w:p>
    <w:p w14:paraId="6F472E89">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账号：</w:t>
      </w:r>
    </w:p>
    <w:p w14:paraId="1C37D842">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sz w:val="32"/>
          <w:szCs w:val="32"/>
        </w:rPr>
      </w:pPr>
    </w:p>
    <w:p w14:paraId="14B20CE5">
      <w:pPr>
        <w:pStyle w:val="2"/>
        <w:rPr>
          <w:rFonts w:hint="default" w:ascii="Times New Roman" w:hAnsi="Times New Roman" w:cs="Times New Roman"/>
        </w:rPr>
      </w:pPr>
    </w:p>
    <w:p w14:paraId="46372D94">
      <w:pPr>
        <w:rPr>
          <w:rFonts w:hint="default" w:ascii="Times New Roman" w:hAnsi="Times New Roman" w:cs="Times New Roman"/>
        </w:rPr>
      </w:pPr>
    </w:p>
    <w:p w14:paraId="1E67CB9D">
      <w:pPr>
        <w:pStyle w:val="2"/>
        <w:rPr>
          <w:rFonts w:hint="default"/>
        </w:rPr>
      </w:pPr>
    </w:p>
    <w:p w14:paraId="5F8064B8">
      <w:pPr>
        <w:pStyle w:val="3"/>
        <w:bidi w:val="0"/>
        <w:rPr>
          <w:rFonts w:hint="default" w:ascii="Times New Roman" w:hAnsi="Times New Roman" w:eastAsia="方正小标宋_GBK" w:cs="Times New Roman"/>
          <w:sz w:val="44"/>
          <w:szCs w:val="44"/>
          <w:lang w:val="en-US" w:eastAsia="zh-CN"/>
        </w:rPr>
      </w:pPr>
      <w:bookmarkStart w:id="65" w:name="_Toc2983"/>
      <w:r>
        <w:rPr>
          <w:rFonts w:hint="default" w:ascii="Times New Roman" w:hAnsi="Times New Roman" w:eastAsia="方正小标宋_GBK" w:cs="Times New Roman"/>
          <w:sz w:val="44"/>
          <w:szCs w:val="44"/>
          <w:lang w:val="en-US" w:eastAsia="zh-CN"/>
        </w:rPr>
        <w:t>第四章 询价响应文件格式</w:t>
      </w:r>
      <w:bookmarkEnd w:id="65"/>
    </w:p>
    <w:p w14:paraId="2CA11207">
      <w:pPr>
        <w:pStyle w:val="2"/>
        <w:rPr>
          <w:rFonts w:hint="default" w:ascii="Times New Roman" w:hAnsi="Times New Roman" w:cs="Times New Roman"/>
          <w:lang w:val="en-US" w:eastAsia="zh-CN"/>
        </w:rPr>
      </w:pPr>
    </w:p>
    <w:p w14:paraId="1A4CCC06">
      <w:pPr>
        <w:pStyle w:val="2"/>
        <w:rPr>
          <w:rFonts w:hint="default" w:ascii="Times New Roman" w:hAnsi="Times New Roman" w:cs="Times New Roman"/>
          <w:lang w:val="en-US" w:eastAsia="zh-CN"/>
        </w:rPr>
      </w:pPr>
    </w:p>
    <w:p w14:paraId="28F78F5C">
      <w:pPr>
        <w:pStyle w:val="2"/>
        <w:rPr>
          <w:rFonts w:hint="default" w:ascii="Times New Roman" w:hAnsi="Times New Roman" w:cs="Times New Roman"/>
          <w:lang w:val="en-US" w:eastAsia="zh-CN"/>
        </w:rPr>
      </w:pPr>
    </w:p>
    <w:p w14:paraId="4EEE9675">
      <w:pPr>
        <w:pStyle w:val="4"/>
        <w:bidi w:val="0"/>
        <w:rPr>
          <w:rFonts w:hint="default" w:ascii="Times New Roman" w:hAnsi="Times New Roman" w:cs="Times New Roman"/>
        </w:rPr>
      </w:pPr>
      <w:bookmarkStart w:id="66" w:name="_Toc11109"/>
      <w:bookmarkStart w:id="67" w:name="_Toc342_WPSOffice_Level2"/>
      <w:bookmarkStart w:id="68" w:name="_Toc24307"/>
      <w:bookmarkStart w:id="69" w:name="_Toc9329_WPSOffice_Level2"/>
      <w:r>
        <w:rPr>
          <w:rFonts w:hint="default" w:ascii="Times New Roman" w:hAnsi="Times New Roman" w:cs="Times New Roman"/>
        </w:rPr>
        <w:t>格式：封面</w:t>
      </w:r>
      <w:bookmarkEnd w:id="66"/>
      <w:bookmarkEnd w:id="67"/>
      <w:bookmarkEnd w:id="68"/>
      <w:bookmarkEnd w:id="69"/>
    </w:p>
    <w:p w14:paraId="070D20F2">
      <w:pPr>
        <w:pStyle w:val="10"/>
        <w:bidi w:val="0"/>
        <w:rPr>
          <w:rFonts w:hint="default" w:ascii="Times New Roman" w:hAnsi="Times New Roman" w:cs="Times New Roman"/>
        </w:rPr>
      </w:pPr>
    </w:p>
    <w:p w14:paraId="4F3ECFCA">
      <w:pPr>
        <w:pStyle w:val="10"/>
        <w:bidi w:val="0"/>
        <w:rPr>
          <w:rFonts w:hint="default" w:ascii="Times New Roman" w:hAnsi="Times New Roman" w:cs="Times New Roman"/>
        </w:rPr>
      </w:pPr>
    </w:p>
    <w:p w14:paraId="33FB13EB">
      <w:pPr>
        <w:pStyle w:val="10"/>
        <w:bidi w:val="0"/>
        <w:rPr>
          <w:rFonts w:hint="default" w:ascii="Times New Roman" w:hAnsi="Times New Roman" w:cs="Times New Roman"/>
        </w:rPr>
      </w:pPr>
      <w:r>
        <w:rPr>
          <w:rFonts w:hint="default" w:ascii="Times New Roman" w:hAnsi="Times New Roman" w:cs="Times New Roman"/>
        </w:rPr>
        <w:tab/>
      </w:r>
    </w:p>
    <w:p w14:paraId="179223D2">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大理州第二人民医院2025年药物基因检测试剂耗材采购项目（二次）</w:t>
      </w:r>
    </w:p>
    <w:p w14:paraId="47A5AE00">
      <w:pPr>
        <w:bidi w:val="0"/>
        <w:jc w:val="center"/>
        <w:rPr>
          <w:rFonts w:hint="default" w:ascii="Times New Roman" w:hAnsi="Times New Roman" w:cs="Times New Roman"/>
        </w:rPr>
      </w:pPr>
    </w:p>
    <w:p w14:paraId="19DD7C0E">
      <w:pPr>
        <w:bidi w:val="0"/>
        <w:jc w:val="center"/>
        <w:rPr>
          <w:rFonts w:hint="default" w:ascii="Times New Roman" w:hAnsi="Times New Roman" w:cs="Times New Roman"/>
        </w:rPr>
      </w:pPr>
    </w:p>
    <w:p w14:paraId="353EA6F1">
      <w:pPr>
        <w:bidi w:val="0"/>
        <w:jc w:val="center"/>
        <w:rPr>
          <w:rFonts w:hint="default" w:ascii="Times New Roman" w:hAnsi="Times New Roman" w:cs="Times New Roman"/>
        </w:rPr>
      </w:pPr>
      <w:bookmarkStart w:id="70" w:name="_Toc18221_WPSOffice_Level2"/>
      <w:bookmarkStart w:id="71" w:name="_Toc25434_WPSOffice_Level2"/>
      <w:bookmarkStart w:id="72" w:name="_Toc24124_WPSOffice_Level2"/>
      <w:bookmarkStart w:id="73" w:name="_Toc22688_WPSOffice_Level2"/>
      <w:bookmarkStart w:id="74" w:name="_Toc11031_WPSOffice_Level2"/>
      <w:bookmarkStart w:id="75" w:name="_Toc26690_WPSOffice_Level2"/>
      <w:bookmarkStart w:id="76" w:name="_Toc2693_WPSOffice_Level2"/>
      <w:bookmarkStart w:id="77" w:name="_Toc30614_WPSOffice_Level2"/>
      <w:r>
        <w:rPr>
          <w:rFonts w:hint="default" w:ascii="Times New Roman" w:hAnsi="Times New Roman" w:cs="Times New Roman"/>
          <w:lang w:val="en-US" w:eastAsia="zh-CN"/>
        </w:rPr>
        <w:t>响</w:t>
      </w:r>
      <w:r>
        <w:rPr>
          <w:rFonts w:hint="default" w:ascii="Times New Roman" w:hAnsi="Times New Roman" w:cs="Times New Roman"/>
        </w:rPr>
        <w:t xml:space="preserve"> </w:t>
      </w:r>
      <w:r>
        <w:rPr>
          <w:rFonts w:hint="default" w:ascii="Times New Roman" w:hAnsi="Times New Roman" w:cs="Times New Roman"/>
          <w:lang w:val="en-US" w:eastAsia="zh-CN"/>
        </w:rPr>
        <w:t>应</w:t>
      </w:r>
      <w:r>
        <w:rPr>
          <w:rFonts w:hint="default" w:ascii="Times New Roman" w:hAnsi="Times New Roman" w:cs="Times New Roman"/>
        </w:rPr>
        <w:t xml:space="preserve"> 文 件</w:t>
      </w:r>
      <w:bookmarkEnd w:id="70"/>
      <w:bookmarkEnd w:id="71"/>
      <w:bookmarkEnd w:id="72"/>
      <w:bookmarkEnd w:id="73"/>
      <w:bookmarkEnd w:id="74"/>
      <w:bookmarkEnd w:id="75"/>
      <w:bookmarkEnd w:id="76"/>
      <w:bookmarkEnd w:id="77"/>
    </w:p>
    <w:p w14:paraId="25D37EF2">
      <w:pPr>
        <w:bidi w:val="0"/>
        <w:jc w:val="center"/>
        <w:rPr>
          <w:rFonts w:hint="default" w:ascii="Times New Roman" w:hAnsi="Times New Roman" w:cs="Times New Roman"/>
        </w:rPr>
      </w:pPr>
    </w:p>
    <w:p w14:paraId="3416904C">
      <w:pPr>
        <w:bidi w:val="0"/>
        <w:jc w:val="center"/>
        <w:rPr>
          <w:rFonts w:hint="default" w:ascii="Times New Roman" w:hAnsi="Times New Roman" w:cs="Times New Roman"/>
          <w:lang w:val="en-US" w:eastAsia="zh-CN"/>
        </w:rPr>
      </w:pPr>
      <w:bookmarkStart w:id="78" w:name="_Toc32042_WPSOffice_Level2"/>
      <w:bookmarkStart w:id="79" w:name="_Toc3686_WPSOffice_Level2"/>
      <w:bookmarkStart w:id="80" w:name="_Toc32481_WPSOffice_Level2"/>
      <w:bookmarkStart w:id="81" w:name="_Toc7066_WPSOffice_Level2"/>
      <w:bookmarkStart w:id="82" w:name="_Toc15055_WPSOffice_Level2"/>
      <w:bookmarkStart w:id="83" w:name="_Toc3509_WPSOffice_Level2"/>
      <w:bookmarkStart w:id="84" w:name="_Toc17359_WPSOffice_Level2"/>
      <w:bookmarkStart w:id="85" w:name="_Toc26052_WPSOffice_Level2"/>
      <w:bookmarkStart w:id="86" w:name="_Toc9606_WPSOffice_Level2"/>
      <w:r>
        <w:rPr>
          <w:rFonts w:hint="default" w:ascii="Times New Roman" w:hAnsi="Times New Roman" w:cs="Times New Roman"/>
          <w:lang w:eastAsia="zh-CN"/>
        </w:rPr>
        <w:t>项目编号</w:t>
      </w:r>
      <w:r>
        <w:rPr>
          <w:rFonts w:hint="default" w:ascii="Times New Roman" w:hAnsi="Times New Roman" w:cs="Times New Roman"/>
        </w:rPr>
        <w:t>：</w:t>
      </w:r>
      <w:bookmarkEnd w:id="78"/>
      <w:bookmarkEnd w:id="79"/>
      <w:bookmarkEnd w:id="80"/>
      <w:bookmarkEnd w:id="81"/>
      <w:bookmarkEnd w:id="82"/>
      <w:bookmarkEnd w:id="83"/>
      <w:bookmarkEnd w:id="84"/>
      <w:bookmarkEnd w:id="85"/>
      <w:bookmarkEnd w:id="86"/>
      <w:r>
        <w:rPr>
          <w:rFonts w:hint="eastAsia" w:ascii="Times New Roman" w:hAnsi="Times New Roman" w:cs="Times New Roman"/>
          <w:lang w:val="en-US" w:eastAsia="zh-CN"/>
        </w:rPr>
        <w:t>DLZEYZCB-2025-05</w:t>
      </w:r>
    </w:p>
    <w:p w14:paraId="3388C2F0">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14:paraId="4AECED52">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14:paraId="2248C501">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14:paraId="5DBAE24B">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87" w:name="_Toc4294_WPSOffice_Level2"/>
      <w:bookmarkStart w:id="88" w:name="_Toc1726_WPSOffice_Level2"/>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(盖章)</w:t>
      </w:r>
      <w:bookmarkEnd w:id="87"/>
      <w:bookmarkEnd w:id="88"/>
    </w:p>
    <w:p w14:paraId="0F1D1AAD">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89" w:name="_Toc14816_WPSOffice_Level2"/>
      <w:bookmarkStart w:id="90" w:name="_Toc11305_WPSOffice_Level2"/>
      <w:r>
        <w:rPr>
          <w:rFonts w:hint="default" w:ascii="Times New Roman" w:hAnsi="Times New Roman" w:eastAsia="方正仿宋_GBK" w:cs="Times New Roman"/>
          <w:color w:val="000000" w:themeColor="text1"/>
          <w:sz w:val="32"/>
          <w:szCs w:val="32"/>
          <w14:textFill>
            <w14:solidFill>
              <w14:schemeClr w14:val="tx1"/>
            </w14:solidFill>
          </w14:textFill>
        </w:rPr>
        <w:t>法定代表人或委托代理人：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（签字或盖章）</w:t>
      </w:r>
      <w:bookmarkEnd w:id="89"/>
      <w:bookmarkEnd w:id="90"/>
    </w:p>
    <w:p w14:paraId="407F4FE2">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91" w:name="_Toc29124_WPSOffice_Level2"/>
      <w:bookmarkStart w:id="92" w:name="_Toc28868_WPSOffice_Level2"/>
      <w:r>
        <w:rPr>
          <w:rFonts w:hint="default" w:ascii="Times New Roman" w:hAnsi="Times New Roman" w:eastAsia="方正仿宋_GBK" w:cs="Times New Roman"/>
          <w:color w:val="000000" w:themeColor="text1"/>
          <w:sz w:val="32"/>
          <w:szCs w:val="32"/>
          <w14:textFill>
            <w14:solidFill>
              <w14:schemeClr w14:val="tx1"/>
            </w14:solidFill>
          </w14:textFill>
        </w:rPr>
        <w:t>日 期：</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bookmarkEnd w:id="91"/>
      <w:bookmarkEnd w:id="92"/>
    </w:p>
    <w:p w14:paraId="700C21C1">
      <w:pPr>
        <w:pStyle w:val="10"/>
        <w:bidi w:val="0"/>
        <w:rPr>
          <w:rFonts w:hint="default" w:ascii="Times New Roman" w:hAnsi="Times New Roman" w:cs="Times New Roman"/>
          <w:lang w:val="en-US" w:eastAsia="zh-CN"/>
        </w:rPr>
      </w:pPr>
      <w:bookmarkStart w:id="93" w:name="_Toc15062"/>
    </w:p>
    <w:p w14:paraId="34BF53F2">
      <w:pPr>
        <w:pStyle w:val="10"/>
        <w:bidi w:val="0"/>
        <w:rPr>
          <w:rFonts w:hint="default" w:ascii="Times New Roman" w:hAnsi="Times New Roman" w:cs="Times New Roman"/>
          <w:lang w:val="en-US" w:eastAsia="zh-CN"/>
        </w:rPr>
      </w:pPr>
    </w:p>
    <w:p w14:paraId="1506D535">
      <w:pPr>
        <w:pStyle w:val="4"/>
        <w:bidi w:val="0"/>
        <w:rPr>
          <w:rFonts w:hint="default" w:ascii="Times New Roman" w:hAnsi="Times New Roman" w:cs="Times New Roman"/>
          <w:lang w:val="en-US" w:eastAsia="zh-CN"/>
        </w:rPr>
      </w:pPr>
      <w:bookmarkStart w:id="94" w:name="_Toc25214"/>
      <w:r>
        <w:rPr>
          <w:rFonts w:hint="default" w:ascii="Times New Roman" w:hAnsi="Times New Roman" w:cs="Times New Roman"/>
          <w:lang w:val="en-US" w:eastAsia="zh-CN"/>
        </w:rPr>
        <w:t>格式1：开标一览表</w:t>
      </w:r>
      <w:bookmarkEnd w:id="94"/>
    </w:p>
    <w:p w14:paraId="7E6D44D1">
      <w:pPr>
        <w:jc w:val="center"/>
        <w:rPr>
          <w:rFonts w:hint="default" w:ascii="Times New Roman" w:hAnsi="Times New Roman" w:eastAsia="宋体" w:cs="Times New Roman"/>
          <w:b/>
          <w:bCs/>
          <w:szCs w:val="28"/>
          <w:highlight w:val="none"/>
        </w:rPr>
      </w:pPr>
      <w:bookmarkStart w:id="95" w:name="_Toc5819"/>
      <w:bookmarkStart w:id="96" w:name="_Toc486806866"/>
      <w:r>
        <w:rPr>
          <w:rFonts w:hint="default" w:ascii="Times New Roman" w:hAnsi="Times New Roman" w:eastAsia="宋体" w:cs="Times New Roman"/>
          <w:b/>
          <w:bCs/>
          <w:szCs w:val="28"/>
          <w:highlight w:val="none"/>
        </w:rPr>
        <w:t>开标（唱标）一览表</w:t>
      </w:r>
      <w:bookmarkEnd w:id="95"/>
      <w:bookmarkEnd w:id="96"/>
    </w:p>
    <w:p w14:paraId="7CC297B4">
      <w:pPr>
        <w:jc w:val="center"/>
        <w:rPr>
          <w:rFonts w:hint="default" w:ascii="Times New Roman" w:hAnsi="Times New Roman" w:eastAsia="宋体" w:cs="Times New Roman"/>
          <w:szCs w:val="28"/>
          <w:highlight w:val="none"/>
          <w:lang w:val="en-US" w:eastAsia="zh-CN"/>
        </w:rPr>
      </w:pPr>
    </w:p>
    <w:bookmarkEnd w:id="93"/>
    <w:p w14:paraId="25155F99">
      <w:pPr>
        <w:spacing w:line="288" w:lineRule="auto"/>
        <w:rPr>
          <w:rFonts w:hint="default" w:ascii="Times New Roman" w:hAnsi="Times New Roman" w:cs="Times New Roman"/>
          <w:b w:val="0"/>
          <w:bCs w:val="0"/>
          <w:szCs w:val="21"/>
          <w:highlight w:val="none"/>
        </w:rPr>
      </w:pPr>
      <w:bookmarkStart w:id="97" w:name="_Toc25000"/>
      <w:r>
        <w:rPr>
          <w:rFonts w:hint="default" w:ascii="Times New Roman" w:hAnsi="Times New Roman" w:cs="Times New Roman"/>
          <w:b w:val="0"/>
          <w:bCs w:val="0"/>
          <w:szCs w:val="21"/>
          <w:highlight w:val="none"/>
        </w:rPr>
        <w:t>项目名称：</w:t>
      </w:r>
      <w:r>
        <w:rPr>
          <w:rFonts w:hint="default" w:ascii="Times New Roman" w:hAnsi="Times New Roman" w:cs="Times New Roman"/>
          <w:b w:val="0"/>
          <w:bCs w:val="0"/>
          <w:szCs w:val="21"/>
          <w:highlight w:val="none"/>
          <w:u w:val="single"/>
        </w:rPr>
        <w:t xml:space="preserve">                         </w:t>
      </w:r>
    </w:p>
    <w:p w14:paraId="5B0EE60D">
      <w:pPr>
        <w:spacing w:line="288" w:lineRule="auto"/>
        <w:rPr>
          <w:rFonts w:hint="default" w:ascii="Times New Roman" w:hAnsi="Times New Roman" w:cs="Times New Roman"/>
          <w:szCs w:val="21"/>
          <w:highlight w:val="none"/>
          <w:u w:val="single"/>
        </w:rPr>
      </w:pPr>
      <w:r>
        <w:rPr>
          <w:rFonts w:hint="default" w:ascii="Times New Roman" w:hAnsi="Times New Roman" w:cs="Times New Roman"/>
          <w:b w:val="0"/>
          <w:bCs w:val="0"/>
          <w:szCs w:val="21"/>
          <w:highlight w:val="none"/>
        </w:rPr>
        <w:t>项目编号：</w:t>
      </w:r>
      <w:r>
        <w:rPr>
          <w:rFonts w:hint="default" w:ascii="Times New Roman" w:hAnsi="Times New Roman" w:cs="Times New Roman"/>
          <w:b w:val="0"/>
          <w:bCs w:val="0"/>
          <w:szCs w:val="21"/>
          <w:highlight w:val="none"/>
          <w:u w:val="single"/>
        </w:rPr>
        <w:t xml:space="preserve">                         </w:t>
      </w:r>
      <w:r>
        <w:rPr>
          <w:rFonts w:hint="default" w:ascii="Times New Roman" w:hAnsi="Times New Roman" w:cs="Times New Roman"/>
          <w:b/>
          <w:szCs w:val="21"/>
          <w:highlight w:val="none"/>
        </w:rPr>
        <w:t xml:space="preserve">                           </w:t>
      </w:r>
    </w:p>
    <w:tbl>
      <w:tblPr>
        <w:tblStyle w:val="15"/>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20"/>
        <w:gridCol w:w="4372"/>
        <w:gridCol w:w="1066"/>
      </w:tblGrid>
      <w:tr w14:paraId="19C0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95" w:type="dxa"/>
            <w:vAlign w:val="center"/>
          </w:tcPr>
          <w:p w14:paraId="1EB039B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序号</w:t>
            </w:r>
          </w:p>
        </w:tc>
        <w:tc>
          <w:tcPr>
            <w:tcW w:w="1920" w:type="dxa"/>
            <w:vAlign w:val="center"/>
          </w:tcPr>
          <w:p w14:paraId="470786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分项</w:t>
            </w:r>
          </w:p>
        </w:tc>
        <w:tc>
          <w:tcPr>
            <w:tcW w:w="4372" w:type="dxa"/>
            <w:vAlign w:val="center"/>
          </w:tcPr>
          <w:p w14:paraId="28B4D1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供应商填报</w:t>
            </w:r>
          </w:p>
        </w:tc>
        <w:tc>
          <w:tcPr>
            <w:tcW w:w="1066" w:type="dxa"/>
            <w:vAlign w:val="center"/>
          </w:tcPr>
          <w:p w14:paraId="3250C6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备注</w:t>
            </w:r>
          </w:p>
        </w:tc>
      </w:tr>
      <w:tr w14:paraId="22CF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95" w:type="dxa"/>
            <w:vAlign w:val="center"/>
          </w:tcPr>
          <w:p w14:paraId="5CFAC1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1920" w:type="dxa"/>
            <w:vAlign w:val="center"/>
          </w:tcPr>
          <w:p w14:paraId="66D2291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投标报价</w:t>
            </w:r>
          </w:p>
        </w:tc>
        <w:tc>
          <w:tcPr>
            <w:tcW w:w="4372" w:type="dxa"/>
            <w:vAlign w:val="center"/>
          </w:tcPr>
          <w:p w14:paraId="4F048C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统一下浮率</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tc>
        <w:tc>
          <w:tcPr>
            <w:tcW w:w="1066" w:type="dxa"/>
            <w:vAlign w:val="center"/>
          </w:tcPr>
          <w:p w14:paraId="36C9753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24DD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5" w:type="dxa"/>
            <w:vAlign w:val="center"/>
          </w:tcPr>
          <w:p w14:paraId="5F01BD0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1920" w:type="dxa"/>
            <w:vAlign w:val="center"/>
          </w:tcPr>
          <w:p w14:paraId="0B2DE3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期限</w:t>
            </w:r>
          </w:p>
        </w:tc>
        <w:tc>
          <w:tcPr>
            <w:tcW w:w="4372" w:type="dxa"/>
            <w:vAlign w:val="center"/>
          </w:tcPr>
          <w:p w14:paraId="4A5C7B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066" w:type="dxa"/>
            <w:vAlign w:val="center"/>
          </w:tcPr>
          <w:p w14:paraId="34CE89B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1AD9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95" w:type="dxa"/>
            <w:vAlign w:val="center"/>
          </w:tcPr>
          <w:p w14:paraId="145F084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p>
        </w:tc>
        <w:tc>
          <w:tcPr>
            <w:tcW w:w="1920" w:type="dxa"/>
            <w:vAlign w:val="center"/>
          </w:tcPr>
          <w:p w14:paraId="14F874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供货地点</w:t>
            </w:r>
          </w:p>
        </w:tc>
        <w:tc>
          <w:tcPr>
            <w:tcW w:w="4372" w:type="dxa"/>
            <w:vAlign w:val="center"/>
          </w:tcPr>
          <w:p w14:paraId="1D7ED1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066" w:type="dxa"/>
            <w:vAlign w:val="center"/>
          </w:tcPr>
          <w:p w14:paraId="0CFD95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0643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95" w:type="dxa"/>
            <w:vAlign w:val="center"/>
          </w:tcPr>
          <w:p w14:paraId="4AFC54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p>
        </w:tc>
        <w:tc>
          <w:tcPr>
            <w:tcW w:w="1920" w:type="dxa"/>
            <w:vAlign w:val="center"/>
          </w:tcPr>
          <w:p w14:paraId="7F7CC7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备注</w:t>
            </w:r>
          </w:p>
        </w:tc>
        <w:tc>
          <w:tcPr>
            <w:tcW w:w="4372" w:type="dxa"/>
            <w:vAlign w:val="center"/>
          </w:tcPr>
          <w:p w14:paraId="38A7492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066" w:type="dxa"/>
            <w:vAlign w:val="center"/>
          </w:tcPr>
          <w:p w14:paraId="002A9B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14:paraId="3CBD149A">
      <w:pPr>
        <w:spacing w:line="288" w:lineRule="auto"/>
        <w:rPr>
          <w:rFonts w:hint="default" w:ascii="Times New Roman" w:hAnsi="Times New Roman" w:cs="Times New Roman"/>
          <w:sz w:val="21"/>
          <w:szCs w:val="21"/>
          <w:highlight w:val="none"/>
        </w:rPr>
      </w:pPr>
    </w:p>
    <w:p w14:paraId="66D6CF43">
      <w:pPr>
        <w:spacing w:line="288" w:lineRule="auto"/>
        <w:ind w:left="-416" w:leftChars="-130" w:right="45" w:rightChars="14" w:firstLine="422" w:firstLineChars="200"/>
        <w:rPr>
          <w:rFonts w:hint="default" w:ascii="Times New Roman" w:hAnsi="Times New Roman" w:cs="Times New Roman"/>
          <w:kern w:val="2"/>
          <w:sz w:val="21"/>
          <w:szCs w:val="21"/>
          <w:highlight w:val="none"/>
        </w:rPr>
      </w:pPr>
      <w:r>
        <w:rPr>
          <w:rFonts w:hint="default" w:ascii="Times New Roman" w:hAnsi="Times New Roman" w:cs="Times New Roman"/>
          <w:b/>
          <w:kern w:val="2"/>
          <w:sz w:val="21"/>
          <w:szCs w:val="21"/>
          <w:highlight w:val="none"/>
        </w:rPr>
        <w:t>注：1、此表应附在报价文件封面后第一页；</w:t>
      </w:r>
      <w:r>
        <w:rPr>
          <w:rFonts w:hint="default" w:ascii="Times New Roman" w:hAnsi="Times New Roman" w:cs="Times New Roman"/>
          <w:kern w:val="2"/>
          <w:sz w:val="21"/>
          <w:szCs w:val="21"/>
          <w:highlight w:val="none"/>
        </w:rPr>
        <w:t>2、投标总价为</w:t>
      </w:r>
      <w:r>
        <w:rPr>
          <w:rFonts w:hint="default" w:ascii="Times New Roman" w:hAnsi="Times New Roman" w:cs="Times New Roman"/>
          <w:bCs/>
          <w:kern w:val="2"/>
          <w:sz w:val="21"/>
          <w:szCs w:val="21"/>
          <w:highlight w:val="none"/>
        </w:rPr>
        <w:t>本包</w:t>
      </w:r>
      <w:r>
        <w:rPr>
          <w:rFonts w:hint="default" w:ascii="Times New Roman" w:hAnsi="Times New Roman" w:cs="Times New Roman"/>
          <w:kern w:val="2"/>
          <w:sz w:val="21"/>
          <w:szCs w:val="21"/>
          <w:highlight w:val="none"/>
        </w:rPr>
        <w:t>货物现场完税价及</w:t>
      </w:r>
      <w:r>
        <w:rPr>
          <w:rFonts w:hint="default" w:ascii="Times New Roman" w:hAnsi="Times New Roman" w:cs="Times New Roman"/>
          <w:sz w:val="21"/>
          <w:szCs w:val="21"/>
          <w:highlight w:val="none"/>
        </w:rPr>
        <w:t>投标货物</w:t>
      </w:r>
      <w:r>
        <w:rPr>
          <w:rFonts w:hint="default" w:ascii="Times New Roman" w:hAnsi="Times New Roman" w:cs="Times New Roman"/>
          <w:bCs/>
          <w:sz w:val="21"/>
          <w:szCs w:val="21"/>
          <w:highlight w:val="none"/>
        </w:rPr>
        <w:t>必不可少的部件、标准备件、专用工具</w:t>
      </w:r>
      <w:r>
        <w:rPr>
          <w:rFonts w:hint="default" w:ascii="Times New Roman" w:hAnsi="Times New Roman" w:cs="Times New Roman"/>
          <w:sz w:val="21"/>
          <w:szCs w:val="21"/>
          <w:highlight w:val="none"/>
        </w:rPr>
        <w:t>费用</w:t>
      </w:r>
      <w:r>
        <w:rPr>
          <w:rFonts w:hint="default" w:ascii="Times New Roman" w:hAnsi="Times New Roman" w:cs="Times New Roman"/>
          <w:kern w:val="2"/>
          <w:sz w:val="21"/>
          <w:szCs w:val="21"/>
          <w:highlight w:val="none"/>
        </w:rPr>
        <w:t>，已包括与本次投标货物和伴随服务相关的所有税费以及供应商为完成本项目、达到询价文件要求所需要的全部费用，采购人不再另行支付其他任何费用；3、所有价格单位为人民币元；4、报价项应是投标货物及相关服务的全部费用的报价；5、信息须真实准确。</w:t>
      </w:r>
    </w:p>
    <w:p w14:paraId="00842A8B">
      <w:pPr>
        <w:spacing w:line="288"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14:paraId="76B6E5D1">
      <w:pPr>
        <w:pStyle w:val="2"/>
        <w:rPr>
          <w:rFonts w:hint="default"/>
        </w:rPr>
      </w:pPr>
    </w:p>
    <w:p w14:paraId="7FFB6BC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4DEB0D6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03C9F99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14:paraId="1C7A7815">
      <w:pPr>
        <w:spacing w:line="288" w:lineRule="auto"/>
        <w:ind w:firstLine="630" w:firstLineChars="300"/>
        <w:jc w:val="right"/>
        <w:rPr>
          <w:rFonts w:hint="default" w:ascii="Times New Roman" w:hAnsi="Times New Roman" w:cs="Times New Roman"/>
          <w:sz w:val="21"/>
          <w:szCs w:val="21"/>
          <w:highlight w:val="none"/>
        </w:rPr>
      </w:pPr>
    </w:p>
    <w:bookmarkEnd w:id="97"/>
    <w:p w14:paraId="355029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outlineLvl w:val="1"/>
        <w:rPr>
          <w:rFonts w:hint="default" w:ascii="Times New Roman" w:hAnsi="Times New Roman" w:eastAsia="方正仿宋_GBK" w:cs="Times New Roman"/>
          <w:b/>
          <w:color w:val="000000" w:themeColor="text1"/>
          <w:sz w:val="21"/>
          <w:szCs w:val="21"/>
          <w14:textFill>
            <w14:solidFill>
              <w14:schemeClr w14:val="tx1"/>
            </w14:solidFill>
          </w14:textFill>
        </w:rPr>
      </w:pPr>
    </w:p>
    <w:p w14:paraId="221270E4">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lang w:val="en-US" w:eastAsia="zh-CN"/>
        </w:rPr>
        <w:t xml:space="preserve"> </w:t>
      </w:r>
      <w:bookmarkStart w:id="98" w:name="_Toc15324"/>
      <w:bookmarkStart w:id="99" w:name="_Toc118"/>
    </w:p>
    <w:p w14:paraId="59A81662">
      <w:pPr>
        <w:pStyle w:val="2"/>
        <w:numPr>
          <w:ilvl w:val="0"/>
          <w:numId w:val="0"/>
        </w:numPr>
        <w:rPr>
          <w:rFonts w:hint="default" w:ascii="Times New Roman" w:hAnsi="Times New Roman" w:eastAsia="方正黑体_GBK" w:cs="Times New Roman"/>
          <w:b/>
          <w:bCs w:val="0"/>
          <w:color w:val="auto"/>
          <w:kern w:val="0"/>
          <w:sz w:val="32"/>
          <w:szCs w:val="24"/>
          <w:lang w:val="en-US" w:eastAsia="zh-CN" w:bidi="ar-SA"/>
        </w:rPr>
      </w:pPr>
      <w:r>
        <w:rPr>
          <w:rFonts w:hint="default" w:ascii="Times New Roman" w:hAnsi="Times New Roman" w:eastAsia="方正黑体_GBK" w:cs="Times New Roman"/>
          <w:b/>
          <w:bCs w:val="0"/>
          <w:color w:val="auto"/>
          <w:kern w:val="0"/>
          <w:sz w:val="32"/>
          <w:szCs w:val="24"/>
          <w:lang w:val="en-US" w:eastAsia="zh-CN" w:bidi="ar-SA"/>
        </w:rPr>
        <w:t>格式2：投 标 函</w:t>
      </w:r>
      <w:bookmarkEnd w:id="98"/>
      <w:bookmarkEnd w:id="99"/>
    </w:p>
    <w:p w14:paraId="6805B88B">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kern w:val="0"/>
          <w:sz w:val="32"/>
          <w:szCs w:val="24"/>
          <w:lang w:val="en-US" w:eastAsia="zh-CN" w:bidi="ar-SA"/>
        </w:rPr>
      </w:pPr>
      <w:bookmarkStart w:id="100" w:name="_Toc476856077"/>
      <w:bookmarkStart w:id="101" w:name="_Toc475291694"/>
      <w:bookmarkStart w:id="102" w:name="_Toc393354841"/>
      <w:r>
        <w:rPr>
          <w:rFonts w:hint="default" w:ascii="Times New Roman" w:hAnsi="Times New Roman" w:eastAsia="方正仿宋_GBK" w:cs="Times New Roman"/>
          <w:b/>
          <w:bCs w:val="0"/>
          <w:kern w:val="0"/>
          <w:sz w:val="32"/>
          <w:szCs w:val="24"/>
          <w:lang w:val="en-US" w:eastAsia="zh-CN" w:bidi="ar-SA"/>
        </w:rPr>
        <w:t>投 标 函</w:t>
      </w:r>
      <w:bookmarkEnd w:id="100"/>
      <w:bookmarkEnd w:id="101"/>
      <w:bookmarkEnd w:id="102"/>
    </w:p>
    <w:p w14:paraId="070D882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14:paraId="66423B4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我方仔细研究了</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大理州第二人民医院2025年药物基因检测试剂耗材采购项目（二次）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DLZEYZCB-2025-05</w:t>
      </w:r>
      <w:r>
        <w:rPr>
          <w:rFonts w:hint="default" w:ascii="Times New Roman" w:hAnsi="Times New Roman" w:eastAsia="方正仿宋_GBK" w:cs="Times New Roman"/>
          <w:color w:val="000000" w:themeColor="text1"/>
          <w:sz w:val="32"/>
          <w:szCs w:val="32"/>
          <w14:textFill>
            <w14:solidFill>
              <w14:schemeClr w14:val="tx1"/>
            </w14:solidFill>
          </w14:textFill>
        </w:rPr>
        <w:t>）项目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的全部内容，正式授权下述签字人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（姓名和职务） </w:t>
      </w:r>
      <w:r>
        <w:rPr>
          <w:rFonts w:hint="default" w:ascii="Times New Roman" w:hAnsi="Times New Roman" w:eastAsia="方正仿宋_GBK" w:cs="Times New Roman"/>
          <w:color w:val="000000" w:themeColor="text1"/>
          <w:sz w:val="32"/>
          <w:szCs w:val="32"/>
          <w14:textFill>
            <w14:solidFill>
              <w14:schemeClr w14:val="tx1"/>
            </w14:solidFill>
          </w14:textFill>
        </w:rPr>
        <w:t>全权代表供应商</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参加投标。 </w:t>
      </w:r>
    </w:p>
    <w:p w14:paraId="36D4D32C">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据此函，签字人兹宣布同意如下：</w:t>
      </w:r>
    </w:p>
    <w:p w14:paraId="474EAEB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w:t>
      </w:r>
      <w:r>
        <w:rPr>
          <w:rFonts w:hint="eastAsia" w:ascii="Times New Roman" w:hAnsi="Times New Roman" w:cs="Times New Roman"/>
          <w:color w:val="000000" w:themeColor="text1"/>
          <w:sz w:val="32"/>
          <w:szCs w:val="32"/>
          <w:lang w:val="en-US" w:eastAsia="zh-CN"/>
          <w14:textFill>
            <w14:solidFill>
              <w14:schemeClr w14:val="tx1"/>
            </w14:solidFill>
          </w14:textFill>
        </w:rPr>
        <w:t>本次</w:t>
      </w:r>
      <w:r>
        <w:rPr>
          <w:rFonts w:hint="default" w:ascii="Times New Roman" w:hAnsi="Times New Roman" w:eastAsia="方正仿宋_GBK" w:cs="Times New Roman"/>
          <w:color w:val="000000" w:themeColor="text1"/>
          <w:sz w:val="32"/>
          <w:szCs w:val="32"/>
          <w14:textFill>
            <w14:solidFill>
              <w14:schemeClr w14:val="tx1"/>
            </w14:solidFill>
          </w14:textFill>
        </w:rPr>
        <w:t>投标</w:t>
      </w:r>
      <w:r>
        <w:rPr>
          <w:rFonts w:hint="eastAsia" w:ascii="Times New Roman" w:hAnsi="Times New Roman" w:cs="Times New Roman"/>
          <w:color w:val="000000" w:themeColor="text1"/>
          <w:sz w:val="32"/>
          <w:szCs w:val="32"/>
          <w:lang w:val="en-US" w:eastAsia="zh-CN"/>
          <w14:textFill>
            <w14:solidFill>
              <w14:schemeClr w14:val="tx1"/>
            </w14:solidFill>
          </w14:textFill>
        </w:rPr>
        <w:t>单价在预算控制单价基础上</w:t>
      </w:r>
      <w:r>
        <w:rPr>
          <w:rFonts w:hint="default" w:ascii="Times New Roman" w:hAnsi="Times New Roman" w:eastAsia="方正仿宋_GBK" w:cs="Times New Roman"/>
          <w:color w:val="000000" w:themeColor="text1"/>
          <w:sz w:val="32"/>
          <w:szCs w:val="32"/>
          <w14:textFill>
            <w14:solidFill>
              <w14:schemeClr w14:val="tx1"/>
            </w14:solidFill>
          </w14:textFill>
        </w:rPr>
        <w:t>（含税价）</w:t>
      </w:r>
      <w:r>
        <w:rPr>
          <w:rFonts w:hint="eastAsia" w:ascii="Times New Roman" w:hAnsi="Times New Roman" w:cs="Times New Roman"/>
          <w:color w:val="000000" w:themeColor="text1"/>
          <w:sz w:val="32"/>
          <w:szCs w:val="32"/>
          <w:lang w:val="en-US" w:eastAsia="zh-CN"/>
          <w14:textFill>
            <w14:solidFill>
              <w14:schemeClr w14:val="tx1"/>
            </w14:solidFill>
          </w14:textFill>
        </w:rPr>
        <w:t>统一下浮率（%）</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2CB50D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2、我方已详细审查全部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，包括</w:t>
      </w:r>
      <w:r>
        <w:rPr>
          <w:rFonts w:hint="default" w:ascii="Times New Roman" w:hAnsi="Times New Roman" w:eastAsia="方正仿宋_GBK" w:cs="Times New Roman"/>
          <w:color w:val="000000" w:themeColor="text1"/>
          <w:sz w:val="32"/>
          <w:szCs w:val="32"/>
          <w:u w:val="single"/>
          <w14:textFill>
            <w14:solidFill>
              <w14:schemeClr w14:val="tx1"/>
            </w14:solidFill>
          </w14:textFill>
        </w:rPr>
        <w:t>（澄清文件）(如果有的话)</w:t>
      </w:r>
      <w:r>
        <w:rPr>
          <w:rFonts w:hint="default" w:ascii="Times New Roman" w:hAnsi="Times New Roman" w:eastAsia="方正仿宋_GBK" w:cs="Times New Roman"/>
          <w:color w:val="000000" w:themeColor="text1"/>
          <w:sz w:val="32"/>
          <w:szCs w:val="32"/>
          <w14:textFill>
            <w14:solidFill>
              <w14:schemeClr w14:val="tx1"/>
            </w14:solidFill>
          </w14:textFill>
        </w:rPr>
        <w:t>。我方完全理解相关文件要求，并承担对这方面有不明及误解的后果，遵守国家有关法律、法规和规章。</w:t>
      </w:r>
    </w:p>
    <w:p w14:paraId="2C02604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3、在供应商须知规定的开标日期起遵循本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响应文件，并在本投标有效期自开标日起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个</w:t>
      </w:r>
      <w:r>
        <w:rPr>
          <w:rFonts w:hint="default" w:ascii="Times New Roman" w:hAnsi="Times New Roman" w:eastAsia="方正仿宋_GBK" w:cs="Times New Roman"/>
          <w:color w:val="000000" w:themeColor="text1"/>
          <w:sz w:val="32"/>
          <w:szCs w:val="32"/>
          <w:u w:val="single"/>
          <w14:textFill>
            <w14:solidFill>
              <w14:schemeClr w14:val="tx1"/>
            </w14:solidFill>
          </w14:textFill>
        </w:rPr>
        <w:t>日历日</w:t>
      </w:r>
      <w:r>
        <w:rPr>
          <w:rFonts w:hint="default" w:ascii="Times New Roman" w:hAnsi="Times New Roman" w:eastAsia="方正仿宋_GBK" w:cs="Times New Roman"/>
          <w:color w:val="000000" w:themeColor="text1"/>
          <w:sz w:val="32"/>
          <w:szCs w:val="32"/>
          <w14:textFill>
            <w14:solidFill>
              <w14:schemeClr w14:val="tx1"/>
            </w14:solidFill>
          </w14:textFill>
        </w:rPr>
        <w:t>满之前均具有约束力。</w:t>
      </w:r>
    </w:p>
    <w:p w14:paraId="1795229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4、同意应贵方要求提供与本投标有关的任何数据或资料，并保证数据和资料的完整性和真实性。</w:t>
      </w:r>
    </w:p>
    <w:p w14:paraId="090F643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5、我们郑重声明：我们符合采购法规定的参加采购活动应当具备的条件：具有健全的财务会计制度、依法缴纳税收和社会保障资金、参加本次采购活动之前的三年内在经营活动中无重大违法活动。</w:t>
      </w:r>
    </w:p>
    <w:p w14:paraId="2A4A02E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14:paraId="2FDE6B22">
      <w:pPr>
        <w:pStyle w:val="2"/>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7、完全理解贵方不一定要接受最低报价的供应商为中标人的行为。</w:t>
      </w:r>
    </w:p>
    <w:p w14:paraId="180089EE">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、如我方中标：</w:t>
      </w:r>
    </w:p>
    <w:p w14:paraId="35F35F38">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（1）我方承诺在收到成交通知书后，在成交通知书规定的期限内与你方签订合同，并履行相应的合同责任和义务。</w:t>
      </w:r>
    </w:p>
    <w:p w14:paraId="5882EF9A">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）我方承诺将承担售后服务及保修责任。</w:t>
      </w:r>
    </w:p>
    <w:p w14:paraId="75A42F88">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（3）我方承诺所投产品无虚假应标，若出现中标产品与我方投标文件中所响应的技术条款不一致的情况，我方愿承担一切后果。</w:t>
      </w:r>
    </w:p>
    <w:p w14:paraId="3120A8D1">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、我方在此声明，所递交的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响应文件及有关资料内容完整、真实和准确。</w:t>
      </w:r>
    </w:p>
    <w:p w14:paraId="7F53F113">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（其他补充说明）。</w:t>
      </w:r>
    </w:p>
    <w:p w14:paraId="43BB28E3">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A241232">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与本投标有关的正式通讯地址为：</w:t>
      </w:r>
    </w:p>
    <w:p w14:paraId="17435E2E">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地址： </w:t>
      </w:r>
    </w:p>
    <w:p w14:paraId="3A5536F4">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p w14:paraId="542FCC6A">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电话：</w:t>
      </w:r>
    </w:p>
    <w:p w14:paraId="4014449A">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传真：</w:t>
      </w:r>
    </w:p>
    <w:p w14:paraId="4F1008BC">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开户名称：</w:t>
      </w:r>
    </w:p>
    <w:p w14:paraId="08CC14E6">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开户银行：</w:t>
      </w:r>
    </w:p>
    <w:p w14:paraId="4F87678C">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帐    号：</w:t>
      </w:r>
    </w:p>
    <w:p w14:paraId="1D30FF6B">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45FEFE34">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11A17D17">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14:paraId="12EE0D4A">
      <w:pPr>
        <w:pStyle w:val="2"/>
        <w:rPr>
          <w:rFonts w:hint="default"/>
          <w:lang w:val="en-US" w:eastAsia="zh-CN"/>
        </w:rPr>
      </w:pPr>
    </w:p>
    <w:p w14:paraId="2AE44D62">
      <w:pPr>
        <w:pStyle w:val="4"/>
        <w:bidi w:val="0"/>
        <w:rPr>
          <w:rFonts w:hint="default" w:ascii="Times New Roman" w:hAnsi="Times New Roman" w:cs="Times New Roman"/>
        </w:rPr>
      </w:pPr>
      <w:bookmarkStart w:id="103" w:name="_Toc29210"/>
      <w:bookmarkStart w:id="104" w:name="_Toc4973"/>
    </w:p>
    <w:p w14:paraId="2620471B">
      <w:pPr>
        <w:pStyle w:val="2"/>
        <w:numPr>
          <w:ilvl w:val="0"/>
          <w:numId w:val="0"/>
        </w:numPr>
        <w:rPr>
          <w:rFonts w:hint="default" w:ascii="Times New Roman" w:hAnsi="Times New Roman" w:eastAsia="方正黑体_GBK" w:cs="Times New Roman"/>
          <w:b/>
          <w:bCs w:val="0"/>
          <w:color w:val="auto"/>
          <w:kern w:val="0"/>
          <w:sz w:val="32"/>
          <w:szCs w:val="24"/>
          <w:lang w:val="en-US" w:eastAsia="zh-CN" w:bidi="ar-SA"/>
        </w:rPr>
      </w:pPr>
    </w:p>
    <w:p w14:paraId="7B75BF52">
      <w:pPr>
        <w:pStyle w:val="2"/>
        <w:numPr>
          <w:ilvl w:val="0"/>
          <w:numId w:val="0"/>
        </w:numPr>
        <w:rPr>
          <w:rFonts w:hint="default" w:ascii="Times New Roman" w:hAnsi="Times New Roman" w:eastAsia="方正黑体_GBK" w:cs="Times New Roman"/>
          <w:b/>
          <w:bCs w:val="0"/>
          <w:color w:val="auto"/>
          <w:kern w:val="0"/>
          <w:sz w:val="32"/>
          <w:szCs w:val="24"/>
          <w:lang w:val="en-US" w:eastAsia="zh-CN" w:bidi="ar-SA"/>
        </w:rPr>
      </w:pPr>
    </w:p>
    <w:p w14:paraId="51F2ED1D">
      <w:pPr>
        <w:pStyle w:val="2"/>
        <w:numPr>
          <w:ilvl w:val="0"/>
          <w:numId w:val="0"/>
        </w:numPr>
        <w:rPr>
          <w:rFonts w:hint="default" w:ascii="Times New Roman" w:hAnsi="Times New Roman" w:eastAsia="方正黑体_GBK" w:cs="Times New Roman"/>
          <w:b/>
          <w:bCs w:val="0"/>
          <w:color w:val="auto"/>
          <w:kern w:val="0"/>
          <w:sz w:val="32"/>
          <w:szCs w:val="24"/>
          <w:lang w:val="en-US" w:eastAsia="zh-CN" w:bidi="ar-SA"/>
        </w:rPr>
      </w:pPr>
      <w:r>
        <w:rPr>
          <w:rFonts w:hint="default" w:ascii="Times New Roman" w:hAnsi="Times New Roman" w:eastAsia="方正黑体_GBK" w:cs="Times New Roman"/>
          <w:b/>
          <w:bCs w:val="0"/>
          <w:color w:val="auto"/>
          <w:kern w:val="0"/>
          <w:sz w:val="32"/>
          <w:szCs w:val="24"/>
          <w:lang w:val="en-US" w:eastAsia="zh-CN" w:bidi="ar-SA"/>
        </w:rPr>
        <w:t>格式3：法定代表人身份证明书</w:t>
      </w:r>
      <w:bookmarkEnd w:id="103"/>
      <w:bookmarkEnd w:id="104"/>
    </w:p>
    <w:p w14:paraId="21E905E9">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b/>
          <w:bCs w:val="0"/>
          <w:color w:val="000000" w:themeColor="text1"/>
          <w:sz w:val="32"/>
          <w:szCs w:val="32"/>
          <w14:textFill>
            <w14:solidFill>
              <w14:schemeClr w14:val="tx1"/>
            </w14:solidFill>
          </w14:textFill>
        </w:rPr>
      </w:pPr>
      <w:bookmarkStart w:id="105" w:name="_Toc475291704"/>
      <w:bookmarkStart w:id="106" w:name="_Toc393354852"/>
      <w:bookmarkStart w:id="107" w:name="_Toc476856087"/>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法定代表人身份证明书</w:t>
      </w:r>
      <w:bookmarkEnd w:id="105"/>
      <w:bookmarkEnd w:id="106"/>
      <w:bookmarkEnd w:id="107"/>
    </w:p>
    <w:p w14:paraId="4962A50E">
      <w:pPr>
        <w:spacing w:line="440" w:lineRule="exact"/>
        <w:jc w:val="center"/>
        <w:rPr>
          <w:rFonts w:hint="default" w:ascii="Times New Roman" w:hAnsi="Times New Roman" w:cs="Times New Roman"/>
          <w:b/>
          <w:color w:val="000000" w:themeColor="text1"/>
          <w:sz w:val="30"/>
          <w:szCs w:val="30"/>
          <w14:textFill>
            <w14:solidFill>
              <w14:schemeClr w14:val="tx1"/>
            </w14:solidFill>
          </w14:textFill>
        </w:rPr>
      </w:pPr>
    </w:p>
    <w:p w14:paraId="274E1F9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14:paraId="40AC1A9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单位性质：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14:paraId="32BDD0F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成立时间：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14:paraId="3B74153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经营期限：</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14:paraId="221DB47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姓名：</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性别：</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年龄：</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职务：</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14:paraId="1A06C09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系</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（供应商名称）的法定代表人。</w:t>
      </w:r>
    </w:p>
    <w:p w14:paraId="642A3BC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7F17B9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5DEE08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特此证明。</w:t>
      </w:r>
    </w:p>
    <w:p w14:paraId="6665AFB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E3CE93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AA29E9F">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注:后附法定代表人身份证复印件。</w:t>
      </w:r>
    </w:p>
    <w:p w14:paraId="10B039B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DBEF93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497C495">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7F81ADCF">
      <w:pPr>
        <w:keepNext w:val="0"/>
        <w:keepLines w:val="0"/>
        <w:pageBreakBefore w:val="0"/>
        <w:widowControl w:val="0"/>
        <w:kinsoku/>
        <w:wordWrap/>
        <w:overflowPunct/>
        <w:topLinePunct w:val="0"/>
        <w:autoSpaceDE/>
        <w:autoSpaceDN/>
        <w:bidi w:val="0"/>
        <w:adjustRightInd/>
        <w:snapToGrid/>
        <w:spacing w:line="460" w:lineRule="exact"/>
        <w:ind w:left="8224" w:leftChars="2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A32E57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14:paraId="37905263">
      <w:pPr>
        <w:pStyle w:val="2"/>
        <w:rPr>
          <w:rFonts w:hint="default" w:ascii="Times New Roman" w:hAnsi="Times New Roman" w:cs="Times New Roman"/>
          <w:color w:val="000000" w:themeColor="text1"/>
          <w:szCs w:val="21"/>
          <w14:textFill>
            <w14:solidFill>
              <w14:schemeClr w14:val="tx1"/>
            </w14:solidFill>
          </w14:textFill>
        </w:rPr>
      </w:pPr>
    </w:p>
    <w:p w14:paraId="5C1F01B0">
      <w:pPr>
        <w:rPr>
          <w:rFonts w:hint="default" w:ascii="Times New Roman" w:hAnsi="Times New Roman" w:cs="Times New Roman"/>
          <w:color w:val="000000" w:themeColor="text1"/>
          <w:szCs w:val="21"/>
          <w14:textFill>
            <w14:solidFill>
              <w14:schemeClr w14:val="tx1"/>
            </w14:solidFill>
          </w14:textFill>
        </w:rPr>
      </w:pPr>
    </w:p>
    <w:p w14:paraId="35A87F02">
      <w:pPr>
        <w:pStyle w:val="2"/>
        <w:rPr>
          <w:rFonts w:hint="default" w:ascii="Times New Roman" w:hAnsi="Times New Roman" w:cs="Times New Roman"/>
          <w:color w:val="000000" w:themeColor="text1"/>
          <w:szCs w:val="21"/>
          <w14:textFill>
            <w14:solidFill>
              <w14:schemeClr w14:val="tx1"/>
            </w14:solidFill>
          </w14:textFill>
        </w:rPr>
      </w:pPr>
    </w:p>
    <w:p w14:paraId="68E34550">
      <w:pPr>
        <w:rPr>
          <w:rFonts w:hint="default" w:ascii="Times New Roman" w:hAnsi="Times New Roman" w:cs="Times New Roman"/>
          <w:color w:val="000000" w:themeColor="text1"/>
          <w:szCs w:val="21"/>
          <w14:textFill>
            <w14:solidFill>
              <w14:schemeClr w14:val="tx1"/>
            </w14:solidFill>
          </w14:textFill>
        </w:rPr>
      </w:pPr>
    </w:p>
    <w:p w14:paraId="16FD918F">
      <w:pPr>
        <w:pStyle w:val="2"/>
        <w:rPr>
          <w:rFonts w:hint="default" w:ascii="Times New Roman" w:hAnsi="Times New Roman" w:cs="Times New Roman"/>
          <w:color w:val="000000" w:themeColor="text1"/>
          <w:szCs w:val="21"/>
          <w14:textFill>
            <w14:solidFill>
              <w14:schemeClr w14:val="tx1"/>
            </w14:solidFill>
          </w14:textFill>
        </w:rPr>
      </w:pPr>
    </w:p>
    <w:p w14:paraId="679F26DE">
      <w:pPr>
        <w:rPr>
          <w:rFonts w:hint="default" w:ascii="Times New Roman" w:hAnsi="Times New Roman" w:cs="Times New Roman"/>
          <w:color w:val="000000" w:themeColor="text1"/>
          <w:szCs w:val="21"/>
          <w14:textFill>
            <w14:solidFill>
              <w14:schemeClr w14:val="tx1"/>
            </w14:solidFill>
          </w14:textFill>
        </w:rPr>
      </w:pPr>
    </w:p>
    <w:p w14:paraId="1CF5A689">
      <w:pPr>
        <w:pStyle w:val="2"/>
        <w:rPr>
          <w:rFonts w:hint="default" w:ascii="Times New Roman" w:hAnsi="Times New Roman" w:cs="Times New Roman"/>
          <w:color w:val="000000" w:themeColor="text1"/>
          <w:szCs w:val="21"/>
          <w14:textFill>
            <w14:solidFill>
              <w14:schemeClr w14:val="tx1"/>
            </w14:solidFill>
          </w14:textFill>
        </w:rPr>
      </w:pPr>
    </w:p>
    <w:p w14:paraId="35DD1526">
      <w:pPr>
        <w:rPr>
          <w:rFonts w:hint="default" w:ascii="Times New Roman" w:hAnsi="Times New Roman" w:cs="Times New Roman"/>
          <w:color w:val="000000" w:themeColor="text1"/>
          <w:szCs w:val="21"/>
          <w14:textFill>
            <w14:solidFill>
              <w14:schemeClr w14:val="tx1"/>
            </w14:solidFill>
          </w14:textFill>
        </w:rPr>
      </w:pPr>
    </w:p>
    <w:p w14:paraId="52DD94A3">
      <w:pPr>
        <w:pStyle w:val="4"/>
        <w:bidi w:val="0"/>
        <w:rPr>
          <w:rFonts w:hint="default" w:ascii="Times New Roman" w:hAnsi="Times New Roman" w:cs="Times New Roman"/>
        </w:rPr>
      </w:pPr>
      <w:bookmarkStart w:id="108" w:name="_Toc29372"/>
      <w:bookmarkStart w:id="109" w:name="_Toc2616"/>
      <w:r>
        <w:rPr>
          <w:rFonts w:hint="default" w:ascii="Times New Roman" w:hAnsi="Times New Roman" w:cs="Times New Roman"/>
        </w:rPr>
        <w:t>格式4：法定代表人授权委托书</w:t>
      </w:r>
      <w:bookmarkEnd w:id="108"/>
      <w:bookmarkEnd w:id="109"/>
    </w:p>
    <w:p w14:paraId="4DDB9364">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110" w:name="_Toc476856088"/>
      <w:bookmarkStart w:id="111" w:name="_Toc475291705"/>
      <w:bookmarkStart w:id="112" w:name="_Toc393354853"/>
      <w:bookmarkStart w:id="113" w:name="_Toc213141107"/>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法定代表人授权委托书</w:t>
      </w:r>
      <w:bookmarkEnd w:id="110"/>
      <w:bookmarkEnd w:id="111"/>
      <w:bookmarkEnd w:id="112"/>
      <w:bookmarkEnd w:id="113"/>
    </w:p>
    <w:p w14:paraId="101B351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themeColor="text1"/>
          <w:sz w:val="24"/>
          <w:szCs w:val="24"/>
          <w14:textFill>
            <w14:solidFill>
              <w14:schemeClr w14:val="tx1"/>
            </w14:solidFill>
          </w14:textFill>
        </w:rPr>
      </w:pPr>
    </w:p>
    <w:p w14:paraId="73B77AF2">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本授权书声明：</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的法定代表人代表本公司授权</w:t>
      </w:r>
      <w:r>
        <w:rPr>
          <w:rFonts w:hint="default" w:ascii="Times New Roman" w:hAnsi="Times New Roman" w:eastAsia="方正仿宋_GBK" w:cs="Times New Roman"/>
          <w:color w:val="000000" w:themeColor="text1"/>
          <w:sz w:val="32"/>
          <w:szCs w:val="32"/>
          <w:u w:val="single"/>
          <w14:textFill>
            <w14:solidFill>
              <w14:schemeClr w14:val="tx1"/>
            </w14:solidFill>
          </w14:textFill>
        </w:rPr>
        <w:t>（委托代理人姓名）</w:t>
      </w:r>
      <w:r>
        <w:rPr>
          <w:rFonts w:hint="default" w:ascii="Times New Roman" w:hAnsi="Times New Roman" w:eastAsia="方正仿宋_GBK" w:cs="Times New Roman"/>
          <w:color w:val="000000" w:themeColor="text1"/>
          <w:sz w:val="32"/>
          <w:szCs w:val="32"/>
          <w14:textFill>
            <w14:solidFill>
              <w14:schemeClr w14:val="tx1"/>
            </w14:solidFill>
          </w14:textFill>
        </w:rPr>
        <w:t>为本公司合法代理人，就贵方组织的有关</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大理州第二人民医院2025年药物基因检测试剂耗材采购项目（二次）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DLZEYZCB-2025-05</w:t>
      </w:r>
      <w:r>
        <w:rPr>
          <w:rFonts w:hint="default" w:ascii="Times New Roman" w:hAnsi="Times New Roman" w:eastAsia="方正仿宋_GBK" w:cs="Times New Roman"/>
          <w:color w:val="000000" w:themeColor="text1"/>
          <w:sz w:val="32"/>
          <w:szCs w:val="32"/>
          <w14:textFill>
            <w14:solidFill>
              <w14:schemeClr w14:val="tx1"/>
            </w14:solidFill>
          </w14:textFill>
        </w:rPr>
        <w:t>）的采购，以本单位名义投标。代理人在本项目投标过程中所签署的一切文件和处理与之有关的一切事务，我方均予承认。</w:t>
      </w:r>
    </w:p>
    <w:p w14:paraId="206BE4D0">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代理人无转委托权。</w:t>
      </w:r>
    </w:p>
    <w:p w14:paraId="5A244BBC">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035CDEC">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055E72AD">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法定代表人（签字或盖章）： </w:t>
      </w:r>
      <w:r>
        <w:rPr>
          <w:rFonts w:hint="default" w:ascii="Times New Roman" w:hAnsi="Times New Roman" w:eastAsia="方正仿宋_GBK" w:cs="Times New Roman"/>
          <w:color w:val="000000" w:themeColor="text1"/>
          <w:sz w:val="32"/>
          <w:szCs w:val="32"/>
          <w:bdr w:val="single" w:color="auto" w:sz="4" w:space="0"/>
          <w14:textFill>
            <w14:solidFill>
              <w14:schemeClr w14:val="tx1"/>
            </w14:solidFill>
          </w14:textFill>
        </w:rPr>
        <w:t xml:space="preserve">     </w:t>
      </w:r>
    </w:p>
    <w:p w14:paraId="270F8687">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80" w:firstLineChars="1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签发日期：</w:t>
      </w:r>
    </w:p>
    <w:p w14:paraId="2982861C">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___________________________________</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tbl>
      <w:tblPr>
        <w:tblStyle w:val="15"/>
        <w:tblW w:w="6892" w:type="dxa"/>
        <w:tblInd w:w="720" w:type="dxa"/>
        <w:tblLayout w:type="fixed"/>
        <w:tblCellMar>
          <w:top w:w="0" w:type="dxa"/>
          <w:left w:w="108" w:type="dxa"/>
          <w:bottom w:w="0" w:type="dxa"/>
          <w:right w:w="108" w:type="dxa"/>
        </w:tblCellMar>
      </w:tblPr>
      <w:tblGrid>
        <w:gridCol w:w="2932"/>
        <w:gridCol w:w="3960"/>
      </w:tblGrid>
      <w:tr w14:paraId="42E7BAFD">
        <w:tblPrEx>
          <w:tblCellMar>
            <w:top w:w="0" w:type="dxa"/>
            <w:left w:w="108" w:type="dxa"/>
            <w:bottom w:w="0" w:type="dxa"/>
            <w:right w:w="108" w:type="dxa"/>
          </w:tblCellMar>
        </w:tblPrEx>
        <w:tc>
          <w:tcPr>
            <w:tcW w:w="2932" w:type="dxa"/>
            <w:tcBorders>
              <w:top w:val="nil"/>
              <w:left w:val="nil"/>
              <w:bottom w:val="nil"/>
              <w:right w:val="nil"/>
            </w:tcBorders>
          </w:tcPr>
          <w:p w14:paraId="6C323DED">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附：委托代理人身份证复印件</w:t>
            </w:r>
          </w:p>
        </w:tc>
        <w:tc>
          <w:tcPr>
            <w:tcW w:w="3960" w:type="dxa"/>
            <w:tcBorders>
              <w:top w:val="nil"/>
              <w:left w:val="nil"/>
              <w:bottom w:val="nil"/>
              <w:right w:val="nil"/>
            </w:tcBorders>
          </w:tcPr>
          <w:p w14:paraId="595D9F4D">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p>
        </w:tc>
      </w:tr>
      <w:tr w14:paraId="53C02F4E">
        <w:tblPrEx>
          <w:tblCellMar>
            <w:top w:w="0" w:type="dxa"/>
            <w:left w:w="108" w:type="dxa"/>
            <w:bottom w:w="0" w:type="dxa"/>
            <w:right w:w="108" w:type="dxa"/>
          </w:tblCellMar>
        </w:tblPrEx>
        <w:tc>
          <w:tcPr>
            <w:tcW w:w="2932" w:type="dxa"/>
            <w:tcBorders>
              <w:top w:val="nil"/>
              <w:left w:val="nil"/>
              <w:bottom w:val="nil"/>
              <w:right w:val="nil"/>
            </w:tcBorders>
          </w:tcPr>
          <w:p w14:paraId="55CA3EBB">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委托代理人姓名（签字）：</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tc>
        <w:tc>
          <w:tcPr>
            <w:tcW w:w="3960" w:type="dxa"/>
            <w:tcBorders>
              <w:top w:val="nil"/>
              <w:left w:val="nil"/>
              <w:bottom w:val="nil"/>
              <w:right w:val="nil"/>
            </w:tcBorders>
          </w:tcPr>
          <w:p w14:paraId="73B86078">
            <w:pPr>
              <w:keepNext w:val="0"/>
              <w:keepLines w:val="0"/>
              <w:pageBreakBefore w:val="0"/>
              <w:widowControl w:val="0"/>
              <w:kinsoku/>
              <w:wordWrap/>
              <w:overflowPunct/>
              <w:topLinePunct w:val="0"/>
              <w:autoSpaceDE/>
              <w:autoSpaceDN/>
              <w:bidi w:val="0"/>
              <w:adjustRightInd/>
              <w:snapToGrid/>
              <w:spacing w:line="460" w:lineRule="exact"/>
              <w:ind w:leftChars="0" w:right="0" w:rightChars="0" w:hanging="163" w:hangingChars="51"/>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p>
        </w:tc>
      </w:tr>
      <w:tr w14:paraId="3FBE0BC7">
        <w:tblPrEx>
          <w:tblCellMar>
            <w:top w:w="0" w:type="dxa"/>
            <w:left w:w="108" w:type="dxa"/>
            <w:bottom w:w="0" w:type="dxa"/>
            <w:right w:w="108" w:type="dxa"/>
          </w:tblCellMar>
        </w:tblPrEx>
        <w:tc>
          <w:tcPr>
            <w:tcW w:w="2932" w:type="dxa"/>
            <w:tcBorders>
              <w:top w:val="nil"/>
              <w:left w:val="nil"/>
              <w:bottom w:val="nil"/>
              <w:right w:val="nil"/>
            </w:tcBorders>
          </w:tcPr>
          <w:p w14:paraId="63A44221">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职       务：</w:t>
            </w:r>
          </w:p>
        </w:tc>
        <w:tc>
          <w:tcPr>
            <w:tcW w:w="3960" w:type="dxa"/>
            <w:tcBorders>
              <w:top w:val="nil"/>
              <w:left w:val="nil"/>
              <w:bottom w:val="nil"/>
              <w:right w:val="nil"/>
            </w:tcBorders>
          </w:tcPr>
          <w:p w14:paraId="635A7580">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67E1D8F7">
        <w:tblPrEx>
          <w:tblCellMar>
            <w:top w:w="0" w:type="dxa"/>
            <w:left w:w="108" w:type="dxa"/>
            <w:bottom w:w="0" w:type="dxa"/>
            <w:right w:w="108" w:type="dxa"/>
          </w:tblCellMar>
        </w:tblPrEx>
        <w:tc>
          <w:tcPr>
            <w:tcW w:w="2932" w:type="dxa"/>
            <w:tcBorders>
              <w:top w:val="nil"/>
              <w:left w:val="nil"/>
              <w:bottom w:val="nil"/>
              <w:right w:val="nil"/>
            </w:tcBorders>
          </w:tcPr>
          <w:p w14:paraId="513B11C0">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身份证号码：</w:t>
            </w:r>
          </w:p>
        </w:tc>
        <w:tc>
          <w:tcPr>
            <w:tcW w:w="3960" w:type="dxa"/>
            <w:tcBorders>
              <w:top w:val="nil"/>
              <w:left w:val="nil"/>
              <w:bottom w:val="nil"/>
              <w:right w:val="nil"/>
            </w:tcBorders>
          </w:tcPr>
          <w:p w14:paraId="1AC8D042">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5ED9E6F3">
        <w:tblPrEx>
          <w:tblCellMar>
            <w:top w:w="0" w:type="dxa"/>
            <w:left w:w="108" w:type="dxa"/>
            <w:bottom w:w="0" w:type="dxa"/>
            <w:right w:w="108" w:type="dxa"/>
          </w:tblCellMar>
        </w:tblPrEx>
        <w:tc>
          <w:tcPr>
            <w:tcW w:w="2932" w:type="dxa"/>
            <w:tcBorders>
              <w:top w:val="nil"/>
              <w:left w:val="nil"/>
              <w:bottom w:val="nil"/>
              <w:right w:val="nil"/>
            </w:tcBorders>
          </w:tcPr>
          <w:p w14:paraId="2F5C4EB2">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       话：</w:t>
            </w:r>
          </w:p>
        </w:tc>
        <w:tc>
          <w:tcPr>
            <w:tcW w:w="3960" w:type="dxa"/>
            <w:tcBorders>
              <w:top w:val="nil"/>
              <w:left w:val="nil"/>
              <w:bottom w:val="nil"/>
              <w:right w:val="nil"/>
            </w:tcBorders>
          </w:tcPr>
          <w:p w14:paraId="1F4E5780">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14:paraId="3C5D988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themeColor="text1"/>
          <w:szCs w:val="21"/>
          <w14:textFill>
            <w14:solidFill>
              <w14:schemeClr w14:val="tx1"/>
            </w14:solidFill>
          </w14:textFill>
        </w:rPr>
      </w:pPr>
    </w:p>
    <w:p w14:paraId="146E017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注：1.委托代理人出席开标会时，应提供本人身份证原件交由工作人员核验；</w:t>
      </w:r>
    </w:p>
    <w:p w14:paraId="78EA81A6">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2.在</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21"/>
          <w:szCs w:val="21"/>
          <w14:textFill>
            <w14:solidFill>
              <w14:schemeClr w14:val="tx1"/>
            </w14:solidFill>
          </w14:textFill>
        </w:rPr>
        <w:t>响应文件中附法定代表人及委托代理人身份证扫描件；</w:t>
      </w:r>
    </w:p>
    <w:p w14:paraId="697116EA">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3.法人到场开标无需授权</w:t>
      </w:r>
      <w:r>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t>。</w:t>
      </w:r>
    </w:p>
    <w:p w14:paraId="3F7EFB8D">
      <w:pPr>
        <w:pStyle w:val="2"/>
        <w:rPr>
          <w:rFonts w:hint="default" w:ascii="Times New Roman" w:hAnsi="Times New Roman" w:cs="Times New Roman"/>
        </w:rPr>
      </w:pPr>
    </w:p>
    <w:p w14:paraId="6B2A04A4">
      <w:pPr>
        <w:pStyle w:val="4"/>
        <w:bidi w:val="0"/>
        <w:outlineLvl w:val="9"/>
        <w:rPr>
          <w:rFonts w:hint="default" w:ascii="Times New Roman" w:hAnsi="Times New Roman" w:cs="Times New Roman"/>
        </w:rPr>
      </w:pPr>
      <w:bookmarkStart w:id="114" w:name="_Toc251"/>
    </w:p>
    <w:p w14:paraId="45405E58">
      <w:pPr>
        <w:pStyle w:val="4"/>
        <w:bidi w:val="0"/>
        <w:rPr>
          <w:rFonts w:hint="default" w:ascii="Times New Roman" w:hAnsi="Times New Roman" w:cs="Times New Roman"/>
        </w:rPr>
      </w:pPr>
      <w:bookmarkStart w:id="115" w:name="_Toc13611"/>
      <w:r>
        <w:rPr>
          <w:rFonts w:hint="default" w:ascii="Times New Roman" w:hAnsi="Times New Roman" w:cs="Times New Roman"/>
        </w:rPr>
        <w:t>格式5：合同履约承诺书</w:t>
      </w:r>
      <w:bookmarkEnd w:id="114"/>
      <w:bookmarkEnd w:id="115"/>
    </w:p>
    <w:p w14:paraId="520C8036">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合同履约承诺书</w:t>
      </w:r>
    </w:p>
    <w:p w14:paraId="31795B3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14:paraId="4656E6E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top"/>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若我公司有幸成为本项目中标供应商，我公司对下列内容进行无条件承诺：</w:t>
      </w:r>
    </w:p>
    <w:p w14:paraId="2F10FF0B">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一</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我单位已详细阅读并完全理解、同意《</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》的全部内容，包括修改补充文件以及全部参考资料和有关附件；除在《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》规定期间内书面提出的疑问外，我单位严格按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确定的技术及商务要求等履行。</w:t>
      </w:r>
    </w:p>
    <w:p w14:paraId="20304630">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二</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按采购要求编制投标报价；我单位的投标报价包括《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》所述报价组成的所有内容、并包括《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》未列明而与采购项目相关的、必须的所有款项及费用等达到交付使用及验收条件的所有一切风险、责任和义务的费用。</w:t>
      </w:r>
    </w:p>
    <w:p w14:paraId="6AB89FEF">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我单位确认本次投标报价未低于成本价，保证按《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》要求及投标承诺的质量诚信履约。</w:t>
      </w:r>
    </w:p>
    <w:p w14:paraId="7F1F8865">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四</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我单位保证在《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》要求的时间内按期、保质完成中标项目。如我单位中标，将在成交结果公示后，积极、主动的与采购单位联系合同签订事宜，合同签订中如有任何的问题，我单位保证及时书面反映情况，否则视为我单位责任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按违约处理。</w:t>
      </w:r>
    </w:p>
    <w:p w14:paraId="7C09BC4A">
      <w:pPr>
        <w:keepNext w:val="0"/>
        <w:keepLines w:val="0"/>
        <w:pageBreakBefore w:val="0"/>
        <w:widowControl w:val="0"/>
        <w:kinsoku/>
        <w:wordWrap/>
        <w:overflowPunct/>
        <w:topLinePunct w:val="0"/>
        <w:autoSpaceDE/>
        <w:autoSpaceDN/>
        <w:bidi w:val="0"/>
        <w:adjustRightInd/>
        <w:spacing w:line="460" w:lineRule="exact"/>
        <w:ind w:firstLine="643" w:firstLineChars="200"/>
        <w:jc w:val="left"/>
        <w:textAlignment w:val="top"/>
        <w:rPr>
          <w:rFonts w:hint="default" w:ascii="Times New Roman" w:hAnsi="Times New Roman" w:cs="Times New Roman"/>
          <w:b/>
          <w:color w:val="000000" w:themeColor="text1"/>
          <w:sz w:val="32"/>
          <w:szCs w:val="32"/>
          <w14:textFill>
            <w14:solidFill>
              <w14:schemeClr w14:val="tx1"/>
            </w14:solidFill>
          </w14:textFill>
        </w:rPr>
      </w:pPr>
    </w:p>
    <w:p w14:paraId="56716239">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供应商名称（盖章）：</w:t>
      </w:r>
    </w:p>
    <w:p w14:paraId="4E567CD5">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法定代表人或其委托代理人（签字或盖章）：</w:t>
      </w:r>
    </w:p>
    <w:p w14:paraId="0261083B">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日期：</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年</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月</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日</w:t>
      </w:r>
    </w:p>
    <w:p w14:paraId="3A5A636B">
      <w:pPr>
        <w:spacing w:line="360" w:lineRule="auto"/>
        <w:ind w:firstLine="480"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14:paraId="1B957ACB">
      <w:pPr>
        <w:rPr>
          <w:rFonts w:hint="default" w:ascii="Times New Roman" w:hAnsi="Times New Roman" w:cs="Times New Roman"/>
        </w:rPr>
      </w:pPr>
    </w:p>
    <w:p w14:paraId="6A60198B">
      <w:pPr>
        <w:pStyle w:val="4"/>
        <w:bidi w:val="0"/>
        <w:rPr>
          <w:rFonts w:hint="default" w:ascii="Times New Roman" w:hAnsi="Times New Roman" w:cs="Times New Roman"/>
        </w:rPr>
      </w:pPr>
      <w:bookmarkStart w:id="116" w:name="_Toc30509"/>
      <w:bookmarkStart w:id="117" w:name="_Toc27420"/>
      <w:r>
        <w:rPr>
          <w:rFonts w:hint="default" w:ascii="Times New Roman" w:hAnsi="Times New Roman" w:cs="Times New Roman"/>
        </w:rPr>
        <w:t>格式6：质量保证措施承诺书</w:t>
      </w:r>
      <w:bookmarkEnd w:id="116"/>
      <w:bookmarkEnd w:id="117"/>
    </w:p>
    <w:p w14:paraId="72ECDAFF">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质量保证措施承诺书</w:t>
      </w:r>
    </w:p>
    <w:p w14:paraId="1F5A0FB9">
      <w:pPr>
        <w:spacing w:line="400" w:lineRule="exact"/>
        <w:rPr>
          <w:rFonts w:hint="default" w:ascii="Times New Roman" w:hAnsi="Times New Roman" w:cs="Times New Roman"/>
          <w:color w:val="000000" w:themeColor="text1"/>
          <w:sz w:val="24"/>
          <w:szCs w:val="24"/>
          <w14:textFill>
            <w14:solidFill>
              <w14:schemeClr w14:val="tx1"/>
            </w14:solidFill>
          </w14:textFill>
        </w:rPr>
      </w:pPr>
    </w:p>
    <w:p w14:paraId="151F829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14:paraId="7BA85EE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本书作为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（供应商名称）对贵方组织的</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大理州第二人民医院2025年药物基因检测试剂耗材采购项目（二次）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为：</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DLZEYZCB-2025-05</w:t>
      </w:r>
      <w:r>
        <w:rPr>
          <w:rFonts w:hint="default" w:ascii="Times New Roman" w:hAnsi="Times New Roman" w:eastAsia="方正仿宋_GBK" w:cs="Times New Roman"/>
          <w:color w:val="000000" w:themeColor="text1"/>
          <w:sz w:val="32"/>
          <w:szCs w:val="32"/>
          <w14:textFill>
            <w14:solidFill>
              <w14:schemeClr w14:val="tx1"/>
            </w14:solidFill>
          </w14:textFill>
        </w:rPr>
        <w:t>）采购提供的质量保证的证明。</w:t>
      </w:r>
    </w:p>
    <w:p w14:paraId="6C60AC7C">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我方承诺提供以下质量保证并承担相应的法律责任：</w:t>
      </w:r>
    </w:p>
    <w:p w14:paraId="46C3EB7D">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18" w:name="_Toc6630_WPSOffice_Level2"/>
      <w:bookmarkStart w:id="119" w:name="_Toc6348_WPSOffice_Level2"/>
      <w:bookmarkStart w:id="120" w:name="_Toc29227_WPSOffice_Level2"/>
      <w:r>
        <w:rPr>
          <w:rFonts w:hint="default" w:ascii="Times New Roman" w:hAnsi="Times New Roman" w:eastAsia="方正仿宋_GBK" w:cs="Times New Roman"/>
          <w:color w:val="000000" w:themeColor="text1"/>
          <w:sz w:val="32"/>
          <w:szCs w:val="32"/>
          <w14:textFill>
            <w14:solidFill>
              <w14:schemeClr w14:val="tx1"/>
            </w14:solidFill>
          </w14:textFill>
        </w:rPr>
        <w:t>1、</w:t>
      </w:r>
      <w:bookmarkEnd w:id="118"/>
      <w:bookmarkEnd w:id="119"/>
      <w:bookmarkEnd w:id="120"/>
    </w:p>
    <w:p w14:paraId="518EDEBD">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bookmarkStart w:id="121" w:name="_Toc3594_WPSOffice_Level2"/>
      <w:bookmarkStart w:id="122" w:name="_Toc19964_WPSOffice_Level2"/>
      <w:bookmarkStart w:id="123" w:name="_Toc16152_WPSOffice_Level2"/>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bookmarkEnd w:id="121"/>
      <w:bookmarkEnd w:id="122"/>
      <w:bookmarkEnd w:id="123"/>
    </w:p>
    <w:p w14:paraId="1270A4C6">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本保证书自开标之日起90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个</w:t>
      </w:r>
      <w:r>
        <w:rPr>
          <w:rFonts w:hint="default" w:ascii="Times New Roman" w:hAnsi="Times New Roman" w:eastAsia="方正仿宋_GBK" w:cs="Times New Roman"/>
          <w:color w:val="000000" w:themeColor="text1"/>
          <w:sz w:val="32"/>
          <w:szCs w:val="32"/>
          <w14:textFill>
            <w14:solidFill>
              <w14:schemeClr w14:val="tx1"/>
            </w14:solidFill>
          </w14:textFill>
        </w:rPr>
        <w:t>日历天内有效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如我方成交则至货物质保期满为止有效。</w:t>
      </w:r>
    </w:p>
    <w:p w14:paraId="18BC552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（无固定格式供应商自行拟写，</w:t>
      </w:r>
      <w:r>
        <w:rPr>
          <w:rFonts w:hint="default" w:ascii="Times New Roman" w:hAnsi="Times New Roman" w:cs="Times New Roman"/>
          <w:color w:val="000000" w:themeColor="text1"/>
          <w:sz w:val="32"/>
          <w:szCs w:val="32"/>
          <w:lang w:val="en-US" w:eastAsia="zh-CN"/>
          <w14:textFill>
            <w14:solidFill>
              <w14:schemeClr w14:val="tx1"/>
            </w14:solidFill>
          </w14:textFill>
        </w:rPr>
        <w:t>若有</w:t>
      </w:r>
      <w:r>
        <w:rPr>
          <w:rFonts w:hint="default" w:ascii="Times New Roman" w:hAnsi="Times New Roman" w:eastAsia="方正仿宋_GBK" w:cs="Times New Roman"/>
          <w:color w:val="000000" w:themeColor="text1"/>
          <w:sz w:val="32"/>
          <w:szCs w:val="32"/>
          <w14:textFill>
            <w14:solidFill>
              <w14:schemeClr w14:val="tx1"/>
            </w14:solidFill>
          </w14:textFill>
        </w:rPr>
        <w:t>相关证明材料复印件附后）</w:t>
      </w:r>
    </w:p>
    <w:p w14:paraId="74FB613A">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B86196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545B2C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C22B0C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EBCE75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10935C0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3DBF829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14:paraId="4AF76D5B">
      <w:pPr>
        <w:rPr>
          <w:rFonts w:hint="default" w:ascii="Times New Roman" w:hAnsi="Times New Roman" w:cs="Times New Roman"/>
        </w:rPr>
      </w:pPr>
    </w:p>
    <w:p w14:paraId="5ACFF293">
      <w:pPr>
        <w:rPr>
          <w:rFonts w:hint="default" w:ascii="Times New Roman" w:hAnsi="Times New Roman" w:cs="Times New Roman"/>
          <w:lang w:val="en-US" w:eastAsia="zh-CN"/>
        </w:rPr>
      </w:pPr>
    </w:p>
    <w:p w14:paraId="43F2A830">
      <w:pPr>
        <w:pStyle w:val="2"/>
        <w:rPr>
          <w:rFonts w:hint="default" w:ascii="Times New Roman" w:hAnsi="Times New Roman" w:cs="Times New Roman"/>
          <w:lang w:val="en-US" w:eastAsia="zh-CN"/>
        </w:rPr>
      </w:pPr>
    </w:p>
    <w:p w14:paraId="2A6B51CC">
      <w:pPr>
        <w:rPr>
          <w:rFonts w:hint="default" w:ascii="Times New Roman" w:hAnsi="Times New Roman" w:cs="Times New Roman"/>
          <w:lang w:val="en-US" w:eastAsia="zh-CN"/>
        </w:rPr>
      </w:pPr>
    </w:p>
    <w:p w14:paraId="4CF6E1C3">
      <w:pPr>
        <w:pStyle w:val="2"/>
        <w:rPr>
          <w:rFonts w:hint="default" w:ascii="Times New Roman" w:hAnsi="Times New Roman" w:cs="Times New Roman"/>
          <w:lang w:val="en-US" w:eastAsia="zh-CN"/>
        </w:rPr>
      </w:pPr>
    </w:p>
    <w:p w14:paraId="19373E29">
      <w:pPr>
        <w:rPr>
          <w:rFonts w:hint="default" w:ascii="Times New Roman" w:hAnsi="Times New Roman" w:cs="Times New Roman"/>
          <w:lang w:val="en-US" w:eastAsia="zh-CN"/>
        </w:rPr>
      </w:pPr>
    </w:p>
    <w:p w14:paraId="633005EB">
      <w:pPr>
        <w:pStyle w:val="2"/>
        <w:rPr>
          <w:rFonts w:hint="default" w:ascii="Times New Roman" w:hAnsi="Times New Roman" w:cs="Times New Roman"/>
          <w:lang w:val="en-US" w:eastAsia="zh-CN"/>
        </w:rPr>
      </w:pPr>
    </w:p>
    <w:p w14:paraId="1488B327">
      <w:pPr>
        <w:pStyle w:val="4"/>
        <w:bidi w:val="0"/>
        <w:rPr>
          <w:rFonts w:hint="default" w:ascii="Times New Roman" w:hAnsi="Times New Roman" w:cs="Times New Roman"/>
        </w:rPr>
      </w:pPr>
      <w:bookmarkStart w:id="124" w:name="_Toc374"/>
      <w:bookmarkStart w:id="125" w:name="_Toc13018"/>
      <w:r>
        <w:rPr>
          <w:rFonts w:hint="default" w:ascii="Times New Roman" w:hAnsi="Times New Roman" w:cs="Times New Roman"/>
        </w:rPr>
        <w:t>格式7：</w:t>
      </w:r>
      <w:bookmarkEnd w:id="124"/>
      <w:bookmarkEnd w:id="125"/>
      <w:r>
        <w:rPr>
          <w:rFonts w:hint="default" w:ascii="Times New Roman" w:hAnsi="Times New Roman" w:cs="Times New Roman"/>
          <w:b/>
          <w:bCs/>
          <w:sz w:val="32"/>
          <w:szCs w:val="32"/>
          <w:highlight w:val="none"/>
        </w:rPr>
        <w:t>商务条款偏离表</w:t>
      </w:r>
    </w:p>
    <w:p w14:paraId="04A4181D">
      <w:pPr>
        <w:spacing w:line="288" w:lineRule="auto"/>
        <w:jc w:val="center"/>
        <w:outlineLvl w:val="1"/>
        <w:rPr>
          <w:rFonts w:hint="default" w:ascii="Times New Roman" w:hAnsi="Times New Roman" w:cs="Times New Roman"/>
          <w:sz w:val="24"/>
          <w:highlight w:val="none"/>
        </w:rPr>
      </w:pPr>
      <w:r>
        <w:rPr>
          <w:rFonts w:hint="default" w:ascii="Times New Roman" w:hAnsi="Times New Roman" w:cs="Times New Roman"/>
          <w:b/>
          <w:bCs/>
          <w:sz w:val="32"/>
          <w:szCs w:val="32"/>
          <w:highlight w:val="none"/>
        </w:rPr>
        <w:t>商务条款偏离表</w:t>
      </w:r>
    </w:p>
    <w:p w14:paraId="2941C660">
      <w:pPr>
        <w:keepNext w:val="0"/>
        <w:keepLines w:val="0"/>
        <w:pageBreakBefore w:val="0"/>
        <w:widowControl w:val="0"/>
        <w:kinsoku/>
        <w:wordWrap/>
        <w:overflowPunct/>
        <w:topLinePunct w:val="0"/>
        <w:autoSpaceDE/>
        <w:autoSpaceDN/>
        <w:bidi w:val="0"/>
        <w:adjustRightInd/>
        <w:snapToGrid/>
        <w:spacing w:line="460" w:lineRule="exact"/>
        <w:ind w:left="-205" w:leftChars="-64"/>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1.供应商须逐条对应询价文件中要求的商务条款认证填写该表；</w:t>
      </w:r>
    </w:p>
    <w:p w14:paraId="395CFE89">
      <w:pPr>
        <w:keepNext w:val="0"/>
        <w:keepLines w:val="0"/>
        <w:pageBreakBefore w:val="0"/>
        <w:widowControl w:val="0"/>
        <w:kinsoku/>
        <w:wordWrap/>
        <w:overflowPunct/>
        <w:topLinePunct w:val="0"/>
        <w:autoSpaceDE/>
        <w:autoSpaceDN/>
        <w:bidi w:val="0"/>
        <w:adjustRightInd/>
        <w:snapToGrid/>
        <w:spacing w:line="460" w:lineRule="exact"/>
        <w:ind w:left="-205" w:leftChars="-64"/>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2.商务条款是指：询价文件中</w:t>
      </w:r>
      <w:r>
        <w:rPr>
          <w:rFonts w:hint="default" w:ascii="Times New Roman" w:hAnsi="Times New Roman" w:eastAsia="仿宋_GB2312" w:cs="Times New Roman"/>
          <w:sz w:val="28"/>
          <w:szCs w:val="28"/>
          <w:highlight w:val="none"/>
          <w:lang w:val="en-US" w:eastAsia="zh-CN"/>
        </w:rPr>
        <w:t>第四章“三、商务要求”</w:t>
      </w:r>
      <w:r>
        <w:rPr>
          <w:rFonts w:hint="default" w:ascii="Times New Roman" w:hAnsi="Times New Roman" w:eastAsia="仿宋_GB2312" w:cs="Times New Roman"/>
          <w:sz w:val="28"/>
          <w:szCs w:val="28"/>
          <w:highlight w:val="none"/>
        </w:rPr>
        <w:t>要求的合同履行期限、质保期、付款方式、售后服务等要求。</w:t>
      </w:r>
    </w:p>
    <w:p w14:paraId="5BC5E821">
      <w:pPr>
        <w:keepNext w:val="0"/>
        <w:keepLines w:val="0"/>
        <w:pageBreakBefore w:val="0"/>
        <w:widowControl w:val="0"/>
        <w:kinsoku/>
        <w:wordWrap/>
        <w:overflowPunct/>
        <w:topLinePunct w:val="0"/>
        <w:autoSpaceDE/>
        <w:autoSpaceDN/>
        <w:bidi w:val="0"/>
        <w:adjustRightInd/>
        <w:snapToGrid/>
        <w:spacing w:line="460" w:lineRule="exact"/>
        <w:ind w:left="-205" w:leftChars="-64"/>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★未填写本表格的供应商将不能通过</w:t>
      </w:r>
      <w:r>
        <w:rPr>
          <w:rFonts w:hint="default" w:ascii="Times New Roman" w:hAnsi="Times New Roman" w:eastAsia="仿宋_GB2312" w:cs="Times New Roman"/>
          <w:sz w:val="28"/>
          <w:szCs w:val="28"/>
          <w:highlight w:val="none"/>
          <w:lang w:val="en-US" w:eastAsia="zh-CN"/>
        </w:rPr>
        <w:t>符合性评审</w:t>
      </w:r>
      <w:r>
        <w:rPr>
          <w:rFonts w:hint="default" w:ascii="Times New Roman" w:hAnsi="Times New Roman" w:eastAsia="仿宋_GB2312" w:cs="Times New Roman"/>
          <w:sz w:val="28"/>
          <w:szCs w:val="28"/>
          <w:highlight w:val="none"/>
        </w:rPr>
        <w:t>。</w:t>
      </w:r>
    </w:p>
    <w:p w14:paraId="358B70EC">
      <w:pPr>
        <w:keepNext w:val="0"/>
        <w:keepLines w:val="0"/>
        <w:pageBreakBefore w:val="0"/>
        <w:widowControl w:val="0"/>
        <w:kinsoku/>
        <w:wordWrap/>
        <w:overflowPunct/>
        <w:topLinePunct w:val="0"/>
        <w:autoSpaceDE/>
        <w:autoSpaceDN/>
        <w:bidi w:val="0"/>
        <w:adjustRightInd/>
        <w:snapToGrid/>
        <w:spacing w:line="460" w:lineRule="exact"/>
        <w:ind w:left="-205" w:leftChars="-64"/>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sym w:font="Wingdings 2" w:char="00A3"/>
      </w:r>
      <w:r>
        <w:rPr>
          <w:rFonts w:hint="default" w:ascii="Times New Roman" w:hAnsi="Times New Roman" w:eastAsia="仿宋_GB2312" w:cs="Times New Roman"/>
          <w:sz w:val="28"/>
          <w:szCs w:val="28"/>
          <w:highlight w:val="none"/>
        </w:rPr>
        <w:t>A、我公司已详细阅读询价文件中项商务要求，所有商务要求均无偏离，成交后我公司将严格遵照执行。</w:t>
      </w:r>
    </w:p>
    <w:p w14:paraId="1CB42759">
      <w:pPr>
        <w:keepNext w:val="0"/>
        <w:keepLines w:val="0"/>
        <w:pageBreakBefore w:val="0"/>
        <w:widowControl w:val="0"/>
        <w:kinsoku/>
        <w:wordWrap/>
        <w:overflowPunct/>
        <w:topLinePunct w:val="0"/>
        <w:autoSpaceDE/>
        <w:autoSpaceDN/>
        <w:bidi w:val="0"/>
        <w:adjustRightInd/>
        <w:snapToGrid/>
        <w:spacing w:line="460" w:lineRule="exact"/>
        <w:ind w:left="-205" w:leftChars="-64"/>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sym w:font="Wingdings 2" w:char="00A3"/>
      </w:r>
      <w:r>
        <w:rPr>
          <w:rFonts w:hint="default" w:ascii="Times New Roman" w:hAnsi="Times New Roman" w:eastAsia="仿宋_GB2312" w:cs="Times New Roman"/>
          <w:sz w:val="28"/>
          <w:szCs w:val="28"/>
          <w:highlight w:val="none"/>
        </w:rPr>
        <w:t>B、我公司已详细阅读询价文件中项商务要求，除下述条款有偏离外，其余条款我公司均予以认可，成交后将严格遵照执行。</w:t>
      </w:r>
    </w:p>
    <w:p w14:paraId="6136F9C8">
      <w:pPr>
        <w:keepNext w:val="0"/>
        <w:keepLines w:val="0"/>
        <w:pageBreakBefore w:val="0"/>
        <w:widowControl w:val="0"/>
        <w:kinsoku/>
        <w:wordWrap/>
        <w:overflowPunct/>
        <w:topLinePunct w:val="0"/>
        <w:autoSpaceDE/>
        <w:autoSpaceDN/>
        <w:bidi w:val="0"/>
        <w:adjustRightInd/>
        <w:snapToGrid/>
        <w:spacing w:line="460" w:lineRule="exact"/>
        <w:ind w:left="-205" w:leftChars="-64"/>
        <w:jc w:val="left"/>
        <w:textAlignment w:val="auto"/>
        <w:rPr>
          <w:rFonts w:hint="default" w:ascii="Times New Roman" w:hAnsi="Times New Roman" w:eastAsia="仿宋_GB2312" w:cs="Times New Roman"/>
          <w:sz w:val="28"/>
          <w:szCs w:val="28"/>
          <w:highlight w:val="none"/>
          <w:u w:val="single"/>
        </w:rPr>
      </w:pPr>
      <w:r>
        <w:rPr>
          <w:rFonts w:hint="default" w:ascii="Times New Roman" w:hAnsi="Times New Roman" w:eastAsia="仿宋_GB2312" w:cs="Times New Roman"/>
          <w:sz w:val="28"/>
          <w:szCs w:val="28"/>
          <w:highlight w:val="none"/>
        </w:rPr>
        <w:t>项目名称：</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 xml:space="preserve">                                               项目编号：</w:t>
      </w:r>
      <w:r>
        <w:rPr>
          <w:rFonts w:hint="default" w:ascii="Times New Roman" w:hAnsi="Times New Roman" w:eastAsia="仿宋_GB2312" w:cs="Times New Roman"/>
          <w:sz w:val="28"/>
          <w:szCs w:val="28"/>
          <w:highlight w:val="none"/>
          <w:u w:val="single"/>
        </w:rPr>
        <w:t xml:space="preserve">                 </w:t>
      </w:r>
    </w:p>
    <w:tbl>
      <w:tblPr>
        <w:tblStyle w:val="15"/>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091"/>
        <w:gridCol w:w="2064"/>
        <w:gridCol w:w="1546"/>
        <w:gridCol w:w="1185"/>
        <w:gridCol w:w="1870"/>
      </w:tblGrid>
      <w:tr w14:paraId="61E3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 w:hRule="atLeast"/>
          <w:jc w:val="center"/>
        </w:trPr>
        <w:tc>
          <w:tcPr>
            <w:tcW w:w="504" w:type="dxa"/>
            <w:vAlign w:val="center"/>
          </w:tcPr>
          <w:p w14:paraId="4998DB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序号</w:t>
            </w:r>
          </w:p>
        </w:tc>
        <w:tc>
          <w:tcPr>
            <w:tcW w:w="2091" w:type="dxa"/>
            <w:vAlign w:val="center"/>
          </w:tcPr>
          <w:p w14:paraId="6971E71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询价文件页码及条款号</w:t>
            </w:r>
          </w:p>
        </w:tc>
        <w:tc>
          <w:tcPr>
            <w:tcW w:w="2064" w:type="dxa"/>
            <w:vAlign w:val="center"/>
          </w:tcPr>
          <w:p w14:paraId="5F63A4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询价文件中的商务条款</w:t>
            </w:r>
          </w:p>
        </w:tc>
        <w:tc>
          <w:tcPr>
            <w:tcW w:w="1546" w:type="dxa"/>
            <w:vAlign w:val="center"/>
          </w:tcPr>
          <w:p w14:paraId="0C7798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报价文件中的商务条款</w:t>
            </w:r>
          </w:p>
        </w:tc>
        <w:tc>
          <w:tcPr>
            <w:tcW w:w="1185" w:type="dxa"/>
            <w:vAlign w:val="center"/>
          </w:tcPr>
          <w:p w14:paraId="209CE31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响应情况说明</w:t>
            </w:r>
          </w:p>
        </w:tc>
        <w:tc>
          <w:tcPr>
            <w:tcW w:w="1870" w:type="dxa"/>
            <w:vAlign w:val="center"/>
          </w:tcPr>
          <w:p w14:paraId="170C65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商务条款支持资料索引（页码及条目号等）</w:t>
            </w:r>
          </w:p>
        </w:tc>
      </w:tr>
      <w:tr w14:paraId="29B2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4" w:type="dxa"/>
            <w:vAlign w:val="center"/>
          </w:tcPr>
          <w:p w14:paraId="021834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2091" w:type="dxa"/>
            <w:vAlign w:val="center"/>
          </w:tcPr>
          <w:p w14:paraId="097C2D9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2064" w:type="dxa"/>
            <w:vAlign w:val="center"/>
          </w:tcPr>
          <w:p w14:paraId="20869F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546" w:type="dxa"/>
            <w:vAlign w:val="center"/>
          </w:tcPr>
          <w:p w14:paraId="4902228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185" w:type="dxa"/>
            <w:vAlign w:val="center"/>
          </w:tcPr>
          <w:p w14:paraId="5D9F3E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870" w:type="dxa"/>
            <w:vAlign w:val="center"/>
          </w:tcPr>
          <w:p w14:paraId="5700A5D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r>
      <w:tr w14:paraId="743B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4" w:type="dxa"/>
            <w:vAlign w:val="center"/>
          </w:tcPr>
          <w:p w14:paraId="2AEA555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2091" w:type="dxa"/>
            <w:vAlign w:val="center"/>
          </w:tcPr>
          <w:p w14:paraId="3B30452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2064" w:type="dxa"/>
            <w:vAlign w:val="center"/>
          </w:tcPr>
          <w:p w14:paraId="478AC7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546" w:type="dxa"/>
            <w:vAlign w:val="center"/>
          </w:tcPr>
          <w:p w14:paraId="44D81B9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185" w:type="dxa"/>
            <w:vAlign w:val="center"/>
          </w:tcPr>
          <w:p w14:paraId="29716E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870" w:type="dxa"/>
            <w:vAlign w:val="center"/>
          </w:tcPr>
          <w:p w14:paraId="6328F8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r>
    </w:tbl>
    <w:p w14:paraId="05756B2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表格填写说明：</w:t>
      </w:r>
    </w:p>
    <w:p w14:paraId="4EA9B77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highlight w:val="none"/>
        </w:rPr>
        <w:t>1、供应商根据应根据实际情况，填写本表格，若无偏离，则勾选A项，签字盖章即可。若有偏离，则勾选B项，按表格要求及实际情况填写后，签字盖章。2、表格中“报价文件的商务条款要求”在填写时应注明该条款在报价文件中的页码及条款号。3、表格中“报价文件的商务条款”请根据实际响应情况如实、完整、准确的填写。4、本表格中内容与报价文件其余部分不一致的，以不利于供应商的位置为准。</w:t>
      </w:r>
    </w:p>
    <w:p w14:paraId="528D165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highlight w:val="none"/>
        </w:rPr>
      </w:pPr>
    </w:p>
    <w:p w14:paraId="3318F88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26" w:name="_Toc2934700"/>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17609B3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6108EC0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14:paraId="6A0F7BC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bookmarkEnd w:id="126"/>
      <w:r>
        <w:rPr>
          <w:rFonts w:hint="default" w:ascii="Times New Roman" w:hAnsi="Times New Roman" w:eastAsia="方正仿宋_GBK" w:cs="Times New Roman"/>
          <w:color w:val="000000" w:themeColor="text1"/>
          <w:sz w:val="32"/>
          <w:szCs w:val="32"/>
          <w14:textFill>
            <w14:solidFill>
              <w14:schemeClr w14:val="tx1"/>
            </w14:solidFill>
          </w14:textFill>
        </w:rPr>
        <w:t>　</w:t>
      </w:r>
      <w:bookmarkStart w:id="127" w:name="_Toc7994"/>
    </w:p>
    <w:p w14:paraId="1447BD2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格式8：售后服务方案</w:t>
      </w:r>
      <w:bookmarkEnd w:id="127"/>
    </w:p>
    <w:p w14:paraId="6DA29778">
      <w:pPr>
        <w:pStyle w:val="2"/>
        <w:pageBreakBefore w:val="0"/>
        <w:widowControl w:val="0"/>
        <w:kinsoku/>
        <w:wordWrap/>
        <w:overflowPunct/>
        <w:topLinePunct w:val="0"/>
        <w:autoSpaceDE/>
        <w:autoSpaceDN/>
        <w:bidi w:val="0"/>
        <w:snapToGrid/>
        <w:spacing w:line="700" w:lineRule="exact"/>
        <w:textAlignment w:val="auto"/>
        <w:rPr>
          <w:rFonts w:hint="default" w:ascii="Times New Roman" w:hAnsi="Times New Roman" w:eastAsia="方正仿宋_GBK" w:cs="Times New Roman"/>
          <w:b w:val="0"/>
          <w:bCs w:val="0"/>
          <w:sz w:val="32"/>
          <w:szCs w:val="32"/>
          <w:lang w:val="en-US"/>
        </w:rPr>
      </w:pPr>
      <w:bookmarkStart w:id="128" w:name="_Toc30375_WPSOffice_Level2"/>
      <w:bookmarkStart w:id="129" w:name="_Toc20599_WPSOffice_Level2"/>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（供应商根据采购文件第五章采购需求中的服务要求填写，格式自拟）</w:t>
      </w:r>
      <w:bookmarkEnd w:id="128"/>
      <w:bookmarkEnd w:id="129"/>
    </w:p>
    <w:p w14:paraId="724B910A">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79E1FBF9">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774AC7D2">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679CB602">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696E39F5">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77CA3425">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0ACD362E">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246E0A05">
      <w:pPr>
        <w:pStyle w:val="2"/>
        <w:rPr>
          <w:rFonts w:hint="default" w:ascii="Times New Roman" w:hAnsi="Times New Roman" w:cs="Times New Roman"/>
          <w:b/>
          <w:color w:val="000000" w:themeColor="text1"/>
          <w:sz w:val="24"/>
          <w:szCs w:val="24"/>
          <w14:textFill>
            <w14:solidFill>
              <w14:schemeClr w14:val="tx1"/>
            </w14:solidFill>
          </w14:textFill>
        </w:rPr>
      </w:pPr>
    </w:p>
    <w:p w14:paraId="3601AD12">
      <w:pPr>
        <w:rPr>
          <w:rFonts w:hint="default" w:ascii="Times New Roman" w:hAnsi="Times New Roman" w:cs="Times New Roman"/>
          <w:b/>
          <w:color w:val="000000" w:themeColor="text1"/>
          <w:sz w:val="24"/>
          <w:szCs w:val="24"/>
          <w14:textFill>
            <w14:solidFill>
              <w14:schemeClr w14:val="tx1"/>
            </w14:solidFill>
          </w14:textFill>
        </w:rPr>
      </w:pPr>
    </w:p>
    <w:p w14:paraId="605716F4">
      <w:pPr>
        <w:pStyle w:val="2"/>
        <w:rPr>
          <w:rFonts w:hint="default" w:ascii="Times New Roman" w:hAnsi="Times New Roman" w:cs="Times New Roman"/>
          <w:b/>
          <w:color w:val="000000" w:themeColor="text1"/>
          <w:sz w:val="24"/>
          <w:szCs w:val="24"/>
          <w14:textFill>
            <w14:solidFill>
              <w14:schemeClr w14:val="tx1"/>
            </w14:solidFill>
          </w14:textFill>
        </w:rPr>
      </w:pPr>
    </w:p>
    <w:p w14:paraId="3FBCCBA1">
      <w:pPr>
        <w:rPr>
          <w:rFonts w:hint="default" w:ascii="Times New Roman" w:hAnsi="Times New Roman" w:cs="Times New Roman"/>
          <w:b/>
          <w:color w:val="000000" w:themeColor="text1"/>
          <w:sz w:val="24"/>
          <w:szCs w:val="24"/>
          <w14:textFill>
            <w14:solidFill>
              <w14:schemeClr w14:val="tx1"/>
            </w14:solidFill>
          </w14:textFill>
        </w:rPr>
      </w:pPr>
    </w:p>
    <w:p w14:paraId="6A125917">
      <w:pPr>
        <w:pStyle w:val="2"/>
        <w:rPr>
          <w:rFonts w:hint="default" w:ascii="Times New Roman" w:hAnsi="Times New Roman" w:cs="Times New Roman"/>
          <w:b/>
          <w:color w:val="000000" w:themeColor="text1"/>
          <w:sz w:val="24"/>
          <w:szCs w:val="24"/>
          <w14:textFill>
            <w14:solidFill>
              <w14:schemeClr w14:val="tx1"/>
            </w14:solidFill>
          </w14:textFill>
        </w:rPr>
      </w:pPr>
    </w:p>
    <w:p w14:paraId="77F73133">
      <w:pPr>
        <w:rPr>
          <w:rFonts w:hint="default" w:ascii="Times New Roman" w:hAnsi="Times New Roman" w:cs="Times New Roman"/>
          <w:b/>
          <w:color w:val="000000" w:themeColor="text1"/>
          <w:sz w:val="24"/>
          <w:szCs w:val="24"/>
          <w14:textFill>
            <w14:solidFill>
              <w14:schemeClr w14:val="tx1"/>
            </w14:solidFill>
          </w14:textFill>
        </w:rPr>
      </w:pPr>
    </w:p>
    <w:p w14:paraId="3EAFC68C">
      <w:pPr>
        <w:pStyle w:val="2"/>
        <w:rPr>
          <w:rFonts w:hint="default" w:ascii="Times New Roman" w:hAnsi="Times New Roman" w:cs="Times New Roman"/>
          <w:b/>
          <w:color w:val="000000" w:themeColor="text1"/>
          <w:sz w:val="24"/>
          <w:szCs w:val="24"/>
          <w14:textFill>
            <w14:solidFill>
              <w14:schemeClr w14:val="tx1"/>
            </w14:solidFill>
          </w14:textFill>
        </w:rPr>
      </w:pPr>
    </w:p>
    <w:p w14:paraId="30138290">
      <w:pPr>
        <w:rPr>
          <w:rFonts w:hint="default" w:ascii="Times New Roman" w:hAnsi="Times New Roman" w:cs="Times New Roman"/>
          <w:b/>
          <w:color w:val="000000" w:themeColor="text1"/>
          <w:sz w:val="24"/>
          <w:szCs w:val="24"/>
          <w14:textFill>
            <w14:solidFill>
              <w14:schemeClr w14:val="tx1"/>
            </w14:solidFill>
          </w14:textFill>
        </w:rPr>
      </w:pPr>
    </w:p>
    <w:p w14:paraId="5332AC13">
      <w:pPr>
        <w:pStyle w:val="2"/>
        <w:rPr>
          <w:rFonts w:hint="default" w:ascii="Times New Roman" w:hAnsi="Times New Roman" w:cs="Times New Roman"/>
          <w:b/>
          <w:color w:val="000000" w:themeColor="text1"/>
          <w:sz w:val="24"/>
          <w:szCs w:val="24"/>
          <w14:textFill>
            <w14:solidFill>
              <w14:schemeClr w14:val="tx1"/>
            </w14:solidFill>
          </w14:textFill>
        </w:rPr>
      </w:pPr>
    </w:p>
    <w:p w14:paraId="412956AB">
      <w:pPr>
        <w:rPr>
          <w:rFonts w:hint="default" w:ascii="Times New Roman" w:hAnsi="Times New Roman" w:cs="Times New Roman"/>
          <w:b/>
          <w:color w:val="000000" w:themeColor="text1"/>
          <w:sz w:val="24"/>
          <w:szCs w:val="24"/>
          <w14:textFill>
            <w14:solidFill>
              <w14:schemeClr w14:val="tx1"/>
            </w14:solidFill>
          </w14:textFill>
        </w:rPr>
      </w:pPr>
    </w:p>
    <w:p w14:paraId="2610C951">
      <w:pPr>
        <w:pStyle w:val="2"/>
        <w:rPr>
          <w:rFonts w:hint="default" w:ascii="Times New Roman" w:hAnsi="Times New Roman" w:cs="Times New Roman"/>
          <w:b/>
          <w:color w:val="000000" w:themeColor="text1"/>
          <w:sz w:val="24"/>
          <w:szCs w:val="24"/>
          <w14:textFill>
            <w14:solidFill>
              <w14:schemeClr w14:val="tx1"/>
            </w14:solidFill>
          </w14:textFill>
        </w:rPr>
      </w:pPr>
    </w:p>
    <w:p w14:paraId="3AC2B797">
      <w:pPr>
        <w:rPr>
          <w:rFonts w:hint="default" w:ascii="Times New Roman" w:hAnsi="Times New Roman" w:cs="Times New Roman"/>
          <w:b/>
          <w:color w:val="000000" w:themeColor="text1"/>
          <w:sz w:val="24"/>
          <w:szCs w:val="24"/>
          <w14:textFill>
            <w14:solidFill>
              <w14:schemeClr w14:val="tx1"/>
            </w14:solidFill>
          </w14:textFill>
        </w:rPr>
      </w:pPr>
    </w:p>
    <w:p w14:paraId="7BB48F57">
      <w:pPr>
        <w:pStyle w:val="2"/>
        <w:rPr>
          <w:rFonts w:hint="default" w:ascii="Times New Roman" w:hAnsi="Times New Roman" w:cs="Times New Roman"/>
          <w:b/>
          <w:color w:val="000000" w:themeColor="text1"/>
          <w:sz w:val="24"/>
          <w:szCs w:val="24"/>
          <w14:textFill>
            <w14:solidFill>
              <w14:schemeClr w14:val="tx1"/>
            </w14:solidFill>
          </w14:textFill>
        </w:rPr>
      </w:pPr>
    </w:p>
    <w:p w14:paraId="73E58632">
      <w:pPr>
        <w:rPr>
          <w:rFonts w:hint="default" w:ascii="Times New Roman" w:hAnsi="Times New Roman" w:cs="Times New Roman"/>
          <w:b/>
          <w:color w:val="000000" w:themeColor="text1"/>
          <w:sz w:val="24"/>
          <w:szCs w:val="24"/>
          <w14:textFill>
            <w14:solidFill>
              <w14:schemeClr w14:val="tx1"/>
            </w14:solidFill>
          </w14:textFill>
        </w:rPr>
      </w:pPr>
    </w:p>
    <w:p w14:paraId="658D831B">
      <w:pPr>
        <w:pStyle w:val="2"/>
        <w:rPr>
          <w:rFonts w:hint="default" w:ascii="Times New Roman" w:hAnsi="Times New Roman" w:cs="Times New Roman"/>
          <w:b/>
          <w:color w:val="000000" w:themeColor="text1"/>
          <w:sz w:val="24"/>
          <w:szCs w:val="24"/>
          <w14:textFill>
            <w14:solidFill>
              <w14:schemeClr w14:val="tx1"/>
            </w14:solidFill>
          </w14:textFill>
        </w:rPr>
      </w:pPr>
    </w:p>
    <w:p w14:paraId="7DCCDD6F">
      <w:pPr>
        <w:rPr>
          <w:rFonts w:hint="default" w:ascii="Times New Roman" w:hAnsi="Times New Roman" w:cs="Times New Roman"/>
          <w:b/>
          <w:color w:val="000000" w:themeColor="text1"/>
          <w:sz w:val="24"/>
          <w:szCs w:val="24"/>
          <w14:textFill>
            <w14:solidFill>
              <w14:schemeClr w14:val="tx1"/>
            </w14:solidFill>
          </w14:textFill>
        </w:rPr>
      </w:pPr>
    </w:p>
    <w:p w14:paraId="2DBE6827">
      <w:pPr>
        <w:pStyle w:val="2"/>
        <w:rPr>
          <w:rFonts w:hint="default" w:ascii="Times New Roman" w:hAnsi="Times New Roman" w:cs="Times New Roman"/>
          <w:b/>
          <w:color w:val="000000" w:themeColor="text1"/>
          <w:sz w:val="24"/>
          <w:szCs w:val="24"/>
          <w14:textFill>
            <w14:solidFill>
              <w14:schemeClr w14:val="tx1"/>
            </w14:solidFill>
          </w14:textFill>
        </w:rPr>
      </w:pPr>
    </w:p>
    <w:p w14:paraId="194FFC6B">
      <w:pPr>
        <w:rPr>
          <w:rFonts w:hint="default" w:ascii="Times New Roman" w:hAnsi="Times New Roman" w:cs="Times New Roman"/>
        </w:rPr>
      </w:pPr>
    </w:p>
    <w:p w14:paraId="2225A6AC">
      <w:pPr>
        <w:rPr>
          <w:rFonts w:hint="default" w:ascii="Times New Roman" w:hAnsi="Times New Roman" w:cs="Times New Roman"/>
          <w:b/>
          <w:color w:val="000000" w:themeColor="text1"/>
          <w:sz w:val="24"/>
          <w:szCs w:val="24"/>
          <w14:textFill>
            <w14:solidFill>
              <w14:schemeClr w14:val="tx1"/>
            </w14:solidFill>
          </w14:textFill>
        </w:rPr>
      </w:pPr>
    </w:p>
    <w:p w14:paraId="7FD07199">
      <w:pPr>
        <w:pStyle w:val="2"/>
        <w:rPr>
          <w:rFonts w:hint="default" w:ascii="Times New Roman" w:hAnsi="Times New Roman" w:cs="Times New Roman"/>
        </w:rPr>
      </w:pPr>
    </w:p>
    <w:p w14:paraId="314940BA">
      <w:pPr>
        <w:pStyle w:val="4"/>
        <w:bidi w:val="0"/>
        <w:rPr>
          <w:rFonts w:hint="default" w:ascii="Times New Roman" w:hAnsi="Times New Roman" w:cs="Times New Roman"/>
        </w:rPr>
      </w:pPr>
      <w:bookmarkStart w:id="130" w:name="_Toc21973"/>
      <w:bookmarkStart w:id="131" w:name="_Toc14668"/>
      <w:bookmarkStart w:id="132" w:name="_Toc524645879"/>
      <w:bookmarkStart w:id="133" w:name="_Toc525845913"/>
      <w:bookmarkStart w:id="134" w:name="_Toc523263224"/>
      <w:bookmarkStart w:id="135" w:name="_Toc210298965"/>
      <w:bookmarkStart w:id="136" w:name="_Toc298160282"/>
      <w:r>
        <w:rPr>
          <w:rFonts w:hint="default" w:ascii="Times New Roman" w:hAnsi="Times New Roman" w:cs="Times New Roman"/>
          <w:lang w:val="en-US" w:eastAsia="zh-CN"/>
        </w:rPr>
        <w:t>格式9：无不良记录承诺书</w:t>
      </w:r>
      <w:bookmarkEnd w:id="130"/>
    </w:p>
    <w:bookmarkEnd w:id="131"/>
    <w:bookmarkEnd w:id="132"/>
    <w:bookmarkEnd w:id="133"/>
    <w:p w14:paraId="206EAA5E">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无</w:t>
      </w: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不良</w:t>
      </w:r>
      <w:r>
        <w:rPr>
          <w:rFonts w:hint="default" w:ascii="Times New Roman" w:hAnsi="Times New Roman" w:eastAsia="方正仿宋_GBK" w:cs="Times New Roman"/>
          <w:b/>
          <w:bCs w:val="0"/>
          <w:color w:val="000000" w:themeColor="text1"/>
          <w:sz w:val="32"/>
          <w:szCs w:val="32"/>
          <w14:textFill>
            <w14:solidFill>
              <w14:schemeClr w14:val="tx1"/>
            </w14:solidFill>
          </w14:textFill>
        </w:rPr>
        <w:t>记录承诺书</w:t>
      </w:r>
      <w:bookmarkEnd w:id="134"/>
    </w:p>
    <w:p w14:paraId="7E91B289">
      <w:pPr>
        <w:pStyle w:val="2"/>
        <w:rPr>
          <w:rFonts w:hint="default"/>
        </w:rPr>
      </w:pPr>
    </w:p>
    <w:bookmarkEnd w:id="135"/>
    <w:bookmarkEnd w:id="136"/>
    <w:p w14:paraId="283303AB">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致</w:t>
      </w:r>
      <w:r>
        <w:rPr>
          <w:rFonts w:hint="eastAsia" w:ascii="Times New Roman" w:hAnsi="Times New Roman"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single"/>
          <w:lang w:val="en-US" w:eastAsia="zh-CN"/>
          <w14:textFill>
            <w14:solidFill>
              <w14:schemeClr w14:val="tx1"/>
            </w14:solidFill>
          </w14:textFill>
        </w:rPr>
        <w:t>大理州第二人民医院</w:t>
      </w:r>
    </w:p>
    <w:p w14:paraId="22D006B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我公司参加</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大理州第二人民医院2025年药物基因检测试剂耗材采购项目（二次）</w:t>
      </w:r>
      <w:r>
        <w:rPr>
          <w:rFonts w:hint="default" w:ascii="Times New Roman" w:hAnsi="Times New Roman" w:eastAsia="方正仿宋_GBK" w:cs="Times New Roman"/>
          <w:color w:val="000000" w:themeColor="text1"/>
          <w:sz w:val="32"/>
          <w:szCs w:val="32"/>
          <w14:textFill>
            <w14:solidFill>
              <w14:schemeClr w14:val="tx1"/>
            </w14:solidFill>
          </w14:textFill>
        </w:rPr>
        <w:t>的投标活动，我公司承诺，我公司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法人无任何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违法</w:t>
      </w:r>
      <w:r>
        <w:rPr>
          <w:rFonts w:hint="default" w:ascii="Times New Roman" w:hAnsi="Times New Roman" w:eastAsia="方正仿宋_GBK" w:cs="Times New Roman"/>
          <w:color w:val="000000" w:themeColor="text1"/>
          <w:sz w:val="32"/>
          <w:szCs w:val="32"/>
          <w14:textFill>
            <w14:solidFill>
              <w14:schemeClr w14:val="tx1"/>
            </w14:solidFill>
          </w14:textFill>
        </w:rPr>
        <w:t>犯罪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及不良失信</w:t>
      </w:r>
      <w:r>
        <w:rPr>
          <w:rFonts w:hint="default" w:ascii="Times New Roman" w:hAnsi="Times New Roman" w:eastAsia="方正仿宋_GBK" w:cs="Times New Roman"/>
          <w:color w:val="000000" w:themeColor="text1"/>
          <w:sz w:val="32"/>
          <w:szCs w:val="32"/>
          <w14:textFill>
            <w14:solidFill>
              <w14:schemeClr w14:val="tx1"/>
            </w14:solidFill>
          </w14:textFill>
        </w:rPr>
        <w:t>记录。如有虚假，一经查实，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w:t>
      </w:r>
      <w:r>
        <w:rPr>
          <w:rFonts w:hint="default" w:ascii="Times New Roman" w:hAnsi="Times New Roman" w:eastAsia="方正仿宋_GBK" w:cs="Times New Roman"/>
          <w:color w:val="000000" w:themeColor="text1"/>
          <w:sz w:val="32"/>
          <w:szCs w:val="32"/>
          <w14:textFill>
            <w14:solidFill>
              <w14:schemeClr w14:val="tx1"/>
            </w14:solidFill>
          </w14:textFill>
        </w:rPr>
        <w:t>愿放弃成交供应商资格并承担全部后果。</w:t>
      </w:r>
    </w:p>
    <w:p w14:paraId="25CA381D">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14E2D5A">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特此承诺。</w:t>
      </w:r>
    </w:p>
    <w:p w14:paraId="1B4F63B1">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14:paraId="3CC56C26">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14:paraId="4927CBFF">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14:paraId="3EB1BB01">
      <w:pPr>
        <w:rPr>
          <w:rFonts w:hint="default" w:ascii="Times New Roman" w:hAnsi="Times New Roman" w:eastAsia="方正仿宋_GBK" w:cs="Times New Roman"/>
          <w:sz w:val="32"/>
          <w:szCs w:val="32"/>
        </w:rPr>
      </w:pPr>
    </w:p>
    <w:p w14:paraId="06636422">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7B2B3078">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59181E0B">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14:paraId="22E8DEBC">
      <w:pPr>
        <w:pStyle w:val="2"/>
        <w:rPr>
          <w:rFonts w:hint="default" w:ascii="Times New Roman" w:hAnsi="Times New Roman" w:cs="Times New Roman"/>
          <w:lang w:val="en-US" w:eastAsia="zh-CN"/>
        </w:rPr>
      </w:pPr>
    </w:p>
    <w:p w14:paraId="054903DB">
      <w:pPr>
        <w:rPr>
          <w:rFonts w:hint="default" w:ascii="Times New Roman" w:hAnsi="Times New Roman" w:cs="Times New Roman"/>
          <w:lang w:val="en-US" w:eastAsia="zh-CN"/>
        </w:rPr>
      </w:pPr>
    </w:p>
    <w:p w14:paraId="064E60D2">
      <w:pPr>
        <w:pStyle w:val="2"/>
        <w:rPr>
          <w:rFonts w:hint="default" w:ascii="Times New Roman" w:hAnsi="Times New Roman" w:cs="Times New Roman"/>
          <w:lang w:val="en-US" w:eastAsia="zh-CN"/>
        </w:rPr>
      </w:pPr>
    </w:p>
    <w:p w14:paraId="31467E09">
      <w:pPr>
        <w:rPr>
          <w:rFonts w:hint="default" w:ascii="Times New Roman" w:hAnsi="Times New Roman" w:cs="Times New Roman"/>
          <w:lang w:val="en-US" w:eastAsia="zh-CN"/>
        </w:rPr>
      </w:pPr>
    </w:p>
    <w:p w14:paraId="799BE338">
      <w:pPr>
        <w:pStyle w:val="2"/>
        <w:rPr>
          <w:rFonts w:hint="default" w:ascii="Times New Roman" w:hAnsi="Times New Roman" w:cs="Times New Roman"/>
          <w:lang w:val="en-US" w:eastAsia="zh-CN"/>
        </w:rPr>
      </w:pPr>
    </w:p>
    <w:p w14:paraId="4C3FBADE">
      <w:pPr>
        <w:rPr>
          <w:rFonts w:hint="default" w:ascii="Times New Roman" w:hAnsi="Times New Roman" w:cs="Times New Roman"/>
          <w:lang w:val="en-US" w:eastAsia="zh-CN"/>
        </w:rPr>
      </w:pPr>
    </w:p>
    <w:p w14:paraId="45581E8B">
      <w:pPr>
        <w:pStyle w:val="2"/>
        <w:rPr>
          <w:rFonts w:hint="default" w:ascii="Times New Roman" w:hAnsi="Times New Roman" w:cs="Times New Roman"/>
          <w:lang w:val="en-US" w:eastAsia="zh-CN"/>
        </w:rPr>
      </w:pPr>
    </w:p>
    <w:p w14:paraId="79D4B981">
      <w:pPr>
        <w:rPr>
          <w:rFonts w:hint="default" w:ascii="Times New Roman" w:hAnsi="Times New Roman" w:cs="Times New Roman"/>
          <w:lang w:val="en-US" w:eastAsia="zh-CN"/>
        </w:rPr>
      </w:pPr>
    </w:p>
    <w:p w14:paraId="7D103517">
      <w:pPr>
        <w:pStyle w:val="4"/>
        <w:bidi w:val="0"/>
        <w:outlineLvl w:val="9"/>
        <w:rPr>
          <w:rFonts w:hint="default" w:ascii="Times New Roman" w:hAnsi="Times New Roman" w:cs="Times New Roman"/>
        </w:rPr>
      </w:pPr>
      <w:bookmarkStart w:id="137" w:name="_Toc27886"/>
    </w:p>
    <w:p w14:paraId="05C62D82">
      <w:pPr>
        <w:pStyle w:val="4"/>
        <w:bidi w:val="0"/>
        <w:rPr>
          <w:rFonts w:hint="default" w:ascii="Times New Roman" w:hAnsi="Times New Roman" w:cs="Times New Roman"/>
        </w:rPr>
      </w:pPr>
      <w:bookmarkStart w:id="138" w:name="_Toc15426"/>
      <w:r>
        <w:rPr>
          <w:rFonts w:hint="default" w:ascii="Times New Roman" w:hAnsi="Times New Roman" w:cs="Times New Roman"/>
        </w:rPr>
        <w:t>格式</w:t>
      </w:r>
      <w:r>
        <w:rPr>
          <w:rFonts w:hint="default" w:ascii="Times New Roman" w:hAnsi="Times New Roman" w:cs="Times New Roman"/>
          <w:lang w:val="en-US" w:eastAsia="zh-CN"/>
        </w:rPr>
        <w:t>10</w:t>
      </w:r>
      <w:r>
        <w:rPr>
          <w:rFonts w:hint="default" w:ascii="Times New Roman" w:hAnsi="Times New Roman" w:cs="Times New Roman"/>
        </w:rPr>
        <w:t>：供应商信息表</w:t>
      </w:r>
      <w:bookmarkEnd w:id="137"/>
      <w:bookmarkEnd w:id="138"/>
    </w:p>
    <w:p w14:paraId="60A19DF4">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供应商信息表</w:t>
      </w:r>
    </w:p>
    <w:p w14:paraId="1965BFC2">
      <w:pPr>
        <w:spacing w:line="40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（请供应商如实填写本表信息）</w:t>
      </w:r>
    </w:p>
    <w:tbl>
      <w:tblPr>
        <w:tblStyle w:val="15"/>
        <w:tblpPr w:leftFromText="180" w:rightFromText="180" w:vertAnchor="text" w:horzAnchor="margin" w:tblpXSpec="center" w:tblpY="382"/>
        <w:tblW w:w="1025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2401"/>
        <w:gridCol w:w="2533"/>
        <w:gridCol w:w="2362"/>
      </w:tblGrid>
      <w:tr w14:paraId="5C8B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962" w:type="dxa"/>
            <w:tcBorders>
              <w:top w:val="single" w:color="auto" w:sz="4" w:space="0"/>
              <w:left w:val="single" w:color="auto" w:sz="4" w:space="0"/>
              <w:bottom w:val="single" w:color="auto" w:sz="4" w:space="0"/>
              <w:right w:val="single" w:color="auto" w:sz="4" w:space="0"/>
            </w:tcBorders>
            <w:vAlign w:val="center"/>
          </w:tcPr>
          <w:p w14:paraId="4EA718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14:paraId="60FDAD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4F49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962" w:type="dxa"/>
            <w:tcBorders>
              <w:top w:val="single" w:color="auto" w:sz="4" w:space="0"/>
              <w:left w:val="single" w:color="auto" w:sz="4" w:space="0"/>
              <w:bottom w:val="single" w:color="auto" w:sz="4" w:space="0"/>
              <w:right w:val="single" w:color="auto" w:sz="4" w:space="0"/>
            </w:tcBorders>
            <w:vAlign w:val="center"/>
          </w:tcPr>
          <w:p w14:paraId="4276E96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营业执照</w:t>
            </w:r>
          </w:p>
          <w:p w14:paraId="45991C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14:paraId="11F851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0582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962" w:type="dxa"/>
            <w:tcBorders>
              <w:top w:val="single" w:color="auto" w:sz="4" w:space="0"/>
              <w:left w:val="single" w:color="auto" w:sz="4" w:space="0"/>
              <w:bottom w:val="single" w:color="auto" w:sz="4" w:space="0"/>
              <w:right w:val="single" w:color="auto" w:sz="4" w:space="0"/>
            </w:tcBorders>
            <w:vAlign w:val="center"/>
          </w:tcPr>
          <w:p w14:paraId="5E023B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14:paraId="74D523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14:paraId="7E807D0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14:paraId="25C475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76C4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62" w:type="dxa"/>
            <w:tcBorders>
              <w:top w:val="single" w:color="auto" w:sz="4" w:space="0"/>
              <w:left w:val="single" w:color="auto" w:sz="4" w:space="0"/>
              <w:bottom w:val="single" w:color="auto" w:sz="4" w:space="0"/>
              <w:right w:val="single" w:color="auto" w:sz="4" w:space="0"/>
            </w:tcBorders>
            <w:vAlign w:val="center"/>
          </w:tcPr>
          <w:p w14:paraId="7BDD0C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14:paraId="16422D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14:paraId="58A51F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14:paraId="1FB0CA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191B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962" w:type="dxa"/>
            <w:tcBorders>
              <w:top w:val="single" w:color="auto" w:sz="4" w:space="0"/>
              <w:left w:val="single" w:color="auto" w:sz="4" w:space="0"/>
              <w:bottom w:val="single" w:color="auto" w:sz="4" w:space="0"/>
              <w:right w:val="single" w:color="auto" w:sz="4" w:space="0"/>
            </w:tcBorders>
            <w:vAlign w:val="center"/>
          </w:tcPr>
          <w:p w14:paraId="3789A10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14:paraId="7E3BDAF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14:paraId="77C57B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14:paraId="4C3E55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08AF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962" w:type="dxa"/>
            <w:tcBorders>
              <w:top w:val="single" w:color="auto" w:sz="4" w:space="0"/>
              <w:left w:val="single" w:color="auto" w:sz="4" w:space="0"/>
              <w:bottom w:val="single" w:color="auto" w:sz="4" w:space="0"/>
              <w:right w:val="single" w:color="auto" w:sz="4" w:space="0"/>
            </w:tcBorders>
            <w:vAlign w:val="center"/>
          </w:tcPr>
          <w:p w14:paraId="13EA51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14:paraId="6F6B53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5C10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14:paraId="24DF078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14:paraId="6BC307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781F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14:paraId="183EB6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14:paraId="20F572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14:paraId="4D2234D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F6AC3A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2637C5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34E4A62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669013D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14:paraId="4E0034E8">
      <w:pPr>
        <w:spacing w:line="600" w:lineRule="exact"/>
        <w:rPr>
          <w:rFonts w:hint="default" w:ascii="Times New Roman" w:hAnsi="Times New Roman" w:cs="Times New Roman"/>
          <w:color w:val="000000" w:themeColor="text1"/>
          <w:szCs w:val="24"/>
          <w14:textFill>
            <w14:solidFill>
              <w14:schemeClr w14:val="tx1"/>
            </w14:solidFill>
          </w14:textFill>
        </w:rPr>
      </w:pPr>
    </w:p>
    <w:p w14:paraId="40EA06E2">
      <w:pPr>
        <w:spacing w:line="600" w:lineRule="exact"/>
        <w:rPr>
          <w:rFonts w:hint="default" w:ascii="Times New Roman" w:hAnsi="Times New Roman" w:cs="Times New Roman"/>
          <w:color w:val="000000" w:themeColor="text1"/>
          <w:szCs w:val="24"/>
          <w14:textFill>
            <w14:solidFill>
              <w14:schemeClr w14:val="tx1"/>
            </w14:solidFill>
          </w14:textFill>
        </w:rPr>
      </w:pPr>
    </w:p>
    <w:p w14:paraId="026B941C">
      <w:pPr>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格式1</w:t>
      </w:r>
      <w:r>
        <w:rPr>
          <w:rFonts w:hint="eastAsia" w:ascii="Times New Roman" w:hAnsi="Times New Roman" w:eastAsia="方正黑体_GBK" w:cs="Times New Roman"/>
          <w:b/>
          <w:kern w:val="0"/>
          <w:sz w:val="32"/>
          <w:szCs w:val="24"/>
          <w:lang w:val="en-US" w:eastAsia="zh-CN" w:bidi="ar-SA"/>
        </w:rPr>
        <w:t>1</w:t>
      </w:r>
      <w:r>
        <w:rPr>
          <w:rFonts w:hint="default" w:ascii="Times New Roman" w:hAnsi="Times New Roman" w:eastAsia="方正黑体_GBK" w:cs="Times New Roman"/>
          <w:b/>
          <w:kern w:val="0"/>
          <w:sz w:val="32"/>
          <w:szCs w:val="24"/>
          <w:lang w:val="en-US" w:eastAsia="zh-CN" w:bidi="ar-SA"/>
        </w:rPr>
        <w:t>：</w:t>
      </w:r>
      <w:r>
        <w:rPr>
          <w:rFonts w:hint="eastAsia" w:ascii="Times New Roman" w:hAnsi="Times New Roman" w:eastAsia="方正黑体_GBK" w:cs="Times New Roman"/>
          <w:b/>
          <w:kern w:val="0"/>
          <w:sz w:val="32"/>
          <w:szCs w:val="24"/>
          <w:lang w:val="en-US" w:eastAsia="zh-CN" w:bidi="ar-SA"/>
        </w:rPr>
        <w:t>大理州第二人民医院2025年药物基因检测试剂耗材采购项目（二次）报价</w:t>
      </w:r>
      <w:r>
        <w:rPr>
          <w:rFonts w:hint="default" w:ascii="Times New Roman" w:hAnsi="Times New Roman" w:eastAsia="方正黑体_GBK" w:cs="Times New Roman"/>
          <w:b/>
          <w:kern w:val="0"/>
          <w:sz w:val="32"/>
          <w:szCs w:val="24"/>
          <w:lang w:val="en-US" w:eastAsia="zh-CN" w:bidi="ar-SA"/>
        </w:rPr>
        <w:t>清单</w:t>
      </w:r>
    </w:p>
    <w:tbl>
      <w:tblPr>
        <w:tblStyle w:val="16"/>
        <w:tblW w:w="966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85"/>
        <w:gridCol w:w="1410"/>
        <w:gridCol w:w="975"/>
        <w:gridCol w:w="600"/>
        <w:gridCol w:w="1380"/>
        <w:gridCol w:w="885"/>
        <w:gridCol w:w="1110"/>
        <w:gridCol w:w="720"/>
        <w:gridCol w:w="885"/>
      </w:tblGrid>
      <w:tr w14:paraId="3429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26075178">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序号</w:t>
            </w:r>
          </w:p>
        </w:tc>
        <w:tc>
          <w:tcPr>
            <w:tcW w:w="1185" w:type="dxa"/>
            <w:vAlign w:val="center"/>
          </w:tcPr>
          <w:p w14:paraId="6341DE31">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耗材名称</w:t>
            </w:r>
          </w:p>
        </w:tc>
        <w:tc>
          <w:tcPr>
            <w:tcW w:w="1410" w:type="dxa"/>
            <w:vAlign w:val="center"/>
          </w:tcPr>
          <w:p w14:paraId="5F390213">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规格型号</w:t>
            </w:r>
          </w:p>
        </w:tc>
        <w:tc>
          <w:tcPr>
            <w:tcW w:w="975" w:type="dxa"/>
            <w:vAlign w:val="center"/>
          </w:tcPr>
          <w:p w14:paraId="242E4CF4">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生产厂家</w:t>
            </w:r>
          </w:p>
        </w:tc>
        <w:tc>
          <w:tcPr>
            <w:tcW w:w="600" w:type="dxa"/>
            <w:vAlign w:val="center"/>
          </w:tcPr>
          <w:p w14:paraId="1F6C50DA">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预算单位</w:t>
            </w:r>
          </w:p>
        </w:tc>
        <w:tc>
          <w:tcPr>
            <w:tcW w:w="1380" w:type="dxa"/>
            <w:vAlign w:val="center"/>
          </w:tcPr>
          <w:p w14:paraId="36303050">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预算单价（元）</w:t>
            </w:r>
          </w:p>
        </w:tc>
        <w:tc>
          <w:tcPr>
            <w:tcW w:w="885" w:type="dxa"/>
            <w:vAlign w:val="center"/>
          </w:tcPr>
          <w:p w14:paraId="0F2180A4">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下浮率（%）</w:t>
            </w:r>
          </w:p>
        </w:tc>
        <w:tc>
          <w:tcPr>
            <w:tcW w:w="1110" w:type="dxa"/>
            <w:vAlign w:val="center"/>
          </w:tcPr>
          <w:p w14:paraId="34ED0B2A">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投标单价（元）</w:t>
            </w:r>
          </w:p>
        </w:tc>
        <w:tc>
          <w:tcPr>
            <w:tcW w:w="720" w:type="dxa"/>
            <w:vAlign w:val="center"/>
          </w:tcPr>
          <w:p w14:paraId="44834E2F">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供货单位</w:t>
            </w:r>
          </w:p>
        </w:tc>
        <w:tc>
          <w:tcPr>
            <w:tcW w:w="885" w:type="dxa"/>
            <w:vAlign w:val="center"/>
          </w:tcPr>
          <w:p w14:paraId="0FE1F9B1">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供货单价（元）</w:t>
            </w:r>
          </w:p>
        </w:tc>
      </w:tr>
      <w:tr w14:paraId="2004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7EFAC37D">
            <w:pPr>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1185" w:type="dxa"/>
          </w:tcPr>
          <w:p w14:paraId="6AC8F65A">
            <w:pPr>
              <w:rPr>
                <w:rFonts w:hint="default" w:ascii="Times New Roman" w:hAnsi="Times New Roman" w:cs="Times New Roman"/>
                <w:sz w:val="18"/>
                <w:szCs w:val="18"/>
                <w:vertAlign w:val="baseline"/>
                <w:lang w:val="en-US" w:eastAsia="zh-CN"/>
              </w:rPr>
            </w:pPr>
          </w:p>
        </w:tc>
        <w:tc>
          <w:tcPr>
            <w:tcW w:w="1410" w:type="dxa"/>
          </w:tcPr>
          <w:p w14:paraId="3FDD1D42">
            <w:pPr>
              <w:rPr>
                <w:rFonts w:hint="default" w:ascii="Times New Roman" w:hAnsi="Times New Roman" w:cs="Times New Roman"/>
                <w:sz w:val="18"/>
                <w:szCs w:val="18"/>
                <w:vertAlign w:val="baseline"/>
                <w:lang w:val="en-US" w:eastAsia="zh-CN"/>
              </w:rPr>
            </w:pPr>
          </w:p>
        </w:tc>
        <w:tc>
          <w:tcPr>
            <w:tcW w:w="975" w:type="dxa"/>
          </w:tcPr>
          <w:p w14:paraId="7B84E19B">
            <w:pPr>
              <w:rPr>
                <w:rFonts w:hint="default" w:ascii="Times New Roman" w:hAnsi="Times New Roman" w:cs="Times New Roman"/>
                <w:sz w:val="18"/>
                <w:szCs w:val="18"/>
                <w:vertAlign w:val="baseline"/>
                <w:lang w:val="en-US" w:eastAsia="zh-CN"/>
              </w:rPr>
            </w:pPr>
          </w:p>
        </w:tc>
        <w:tc>
          <w:tcPr>
            <w:tcW w:w="600" w:type="dxa"/>
          </w:tcPr>
          <w:p w14:paraId="17D42FCC">
            <w:pPr>
              <w:rPr>
                <w:rFonts w:hint="default" w:ascii="Times New Roman" w:hAnsi="Times New Roman" w:cs="Times New Roman"/>
                <w:sz w:val="18"/>
                <w:szCs w:val="18"/>
                <w:vertAlign w:val="baseline"/>
                <w:lang w:val="en-US" w:eastAsia="zh-CN"/>
              </w:rPr>
            </w:pPr>
          </w:p>
        </w:tc>
        <w:tc>
          <w:tcPr>
            <w:tcW w:w="1380" w:type="dxa"/>
          </w:tcPr>
          <w:p w14:paraId="07DCB85F">
            <w:pPr>
              <w:rPr>
                <w:rFonts w:hint="default" w:ascii="Times New Roman" w:hAnsi="Times New Roman" w:cs="Times New Roman"/>
                <w:sz w:val="18"/>
                <w:szCs w:val="18"/>
                <w:vertAlign w:val="baseline"/>
                <w:lang w:val="en-US" w:eastAsia="zh-CN"/>
              </w:rPr>
            </w:pPr>
          </w:p>
        </w:tc>
        <w:tc>
          <w:tcPr>
            <w:tcW w:w="885" w:type="dxa"/>
            <w:vMerge w:val="restart"/>
          </w:tcPr>
          <w:p w14:paraId="313AC7AD">
            <w:pPr>
              <w:rPr>
                <w:rFonts w:hint="default" w:ascii="Times New Roman" w:hAnsi="Times New Roman" w:cs="Times New Roman"/>
                <w:sz w:val="18"/>
                <w:szCs w:val="18"/>
                <w:vertAlign w:val="baseline"/>
                <w:lang w:val="en-US" w:eastAsia="zh-CN"/>
              </w:rPr>
            </w:pPr>
          </w:p>
        </w:tc>
        <w:tc>
          <w:tcPr>
            <w:tcW w:w="1110" w:type="dxa"/>
          </w:tcPr>
          <w:p w14:paraId="50169E41">
            <w:pPr>
              <w:rPr>
                <w:rFonts w:hint="default" w:ascii="Times New Roman" w:hAnsi="Times New Roman" w:cs="Times New Roman"/>
                <w:sz w:val="18"/>
                <w:szCs w:val="18"/>
                <w:vertAlign w:val="baseline"/>
                <w:lang w:val="en-US" w:eastAsia="zh-CN"/>
              </w:rPr>
            </w:pPr>
          </w:p>
        </w:tc>
        <w:tc>
          <w:tcPr>
            <w:tcW w:w="720" w:type="dxa"/>
          </w:tcPr>
          <w:p w14:paraId="36D649B2">
            <w:pPr>
              <w:rPr>
                <w:rFonts w:hint="default" w:ascii="Times New Roman" w:hAnsi="Times New Roman" w:cs="Times New Roman"/>
                <w:sz w:val="18"/>
                <w:szCs w:val="18"/>
                <w:vertAlign w:val="baseline"/>
                <w:lang w:val="en-US" w:eastAsia="zh-CN"/>
              </w:rPr>
            </w:pPr>
          </w:p>
        </w:tc>
        <w:tc>
          <w:tcPr>
            <w:tcW w:w="885" w:type="dxa"/>
          </w:tcPr>
          <w:p w14:paraId="764A064F">
            <w:pPr>
              <w:rPr>
                <w:rFonts w:hint="default" w:ascii="Times New Roman" w:hAnsi="Times New Roman" w:cs="Times New Roman"/>
                <w:sz w:val="18"/>
                <w:szCs w:val="18"/>
                <w:vertAlign w:val="baseline"/>
                <w:lang w:val="en-US" w:eastAsia="zh-CN"/>
              </w:rPr>
            </w:pPr>
          </w:p>
        </w:tc>
      </w:tr>
      <w:tr w14:paraId="2CE2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098F8E7C">
            <w:pPr>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1185" w:type="dxa"/>
          </w:tcPr>
          <w:p w14:paraId="12369BF2">
            <w:pPr>
              <w:rPr>
                <w:rFonts w:hint="default" w:ascii="Times New Roman" w:hAnsi="Times New Roman" w:cs="Times New Roman"/>
                <w:sz w:val="18"/>
                <w:szCs w:val="18"/>
                <w:vertAlign w:val="baseline"/>
                <w:lang w:val="en-US" w:eastAsia="zh-CN"/>
              </w:rPr>
            </w:pPr>
          </w:p>
        </w:tc>
        <w:tc>
          <w:tcPr>
            <w:tcW w:w="1410" w:type="dxa"/>
          </w:tcPr>
          <w:p w14:paraId="32A1ED7B">
            <w:pPr>
              <w:rPr>
                <w:rFonts w:hint="default" w:ascii="Times New Roman" w:hAnsi="Times New Roman" w:cs="Times New Roman"/>
                <w:sz w:val="18"/>
                <w:szCs w:val="18"/>
                <w:vertAlign w:val="baseline"/>
                <w:lang w:val="en-US" w:eastAsia="zh-CN"/>
              </w:rPr>
            </w:pPr>
          </w:p>
        </w:tc>
        <w:tc>
          <w:tcPr>
            <w:tcW w:w="975" w:type="dxa"/>
          </w:tcPr>
          <w:p w14:paraId="57B9E048">
            <w:pPr>
              <w:rPr>
                <w:rFonts w:hint="default" w:ascii="Times New Roman" w:hAnsi="Times New Roman" w:cs="Times New Roman"/>
                <w:sz w:val="18"/>
                <w:szCs w:val="18"/>
                <w:vertAlign w:val="baseline"/>
                <w:lang w:val="en-US" w:eastAsia="zh-CN"/>
              </w:rPr>
            </w:pPr>
          </w:p>
        </w:tc>
        <w:tc>
          <w:tcPr>
            <w:tcW w:w="600" w:type="dxa"/>
          </w:tcPr>
          <w:p w14:paraId="3F1BED29">
            <w:pPr>
              <w:rPr>
                <w:rFonts w:hint="default" w:ascii="Times New Roman" w:hAnsi="Times New Roman" w:cs="Times New Roman"/>
                <w:sz w:val="18"/>
                <w:szCs w:val="18"/>
                <w:vertAlign w:val="baseline"/>
                <w:lang w:val="en-US" w:eastAsia="zh-CN"/>
              </w:rPr>
            </w:pPr>
          </w:p>
        </w:tc>
        <w:tc>
          <w:tcPr>
            <w:tcW w:w="1380" w:type="dxa"/>
          </w:tcPr>
          <w:p w14:paraId="531FBD52">
            <w:pPr>
              <w:rPr>
                <w:rFonts w:hint="default" w:ascii="Times New Roman" w:hAnsi="Times New Roman" w:cs="Times New Roman"/>
                <w:sz w:val="18"/>
                <w:szCs w:val="18"/>
                <w:vertAlign w:val="baseline"/>
                <w:lang w:val="en-US" w:eastAsia="zh-CN"/>
              </w:rPr>
            </w:pPr>
          </w:p>
        </w:tc>
        <w:tc>
          <w:tcPr>
            <w:tcW w:w="885" w:type="dxa"/>
            <w:vMerge w:val="continue"/>
          </w:tcPr>
          <w:p w14:paraId="1325861A">
            <w:pPr>
              <w:rPr>
                <w:rFonts w:hint="default" w:ascii="Times New Roman" w:hAnsi="Times New Roman" w:cs="Times New Roman"/>
                <w:sz w:val="18"/>
                <w:szCs w:val="18"/>
                <w:vertAlign w:val="baseline"/>
                <w:lang w:val="en-US" w:eastAsia="zh-CN"/>
              </w:rPr>
            </w:pPr>
          </w:p>
        </w:tc>
        <w:tc>
          <w:tcPr>
            <w:tcW w:w="1110" w:type="dxa"/>
          </w:tcPr>
          <w:p w14:paraId="0358E2C1">
            <w:pPr>
              <w:rPr>
                <w:rFonts w:hint="default" w:ascii="Times New Roman" w:hAnsi="Times New Roman" w:cs="Times New Roman"/>
                <w:sz w:val="18"/>
                <w:szCs w:val="18"/>
                <w:vertAlign w:val="baseline"/>
                <w:lang w:val="en-US" w:eastAsia="zh-CN"/>
              </w:rPr>
            </w:pPr>
          </w:p>
        </w:tc>
        <w:tc>
          <w:tcPr>
            <w:tcW w:w="720" w:type="dxa"/>
          </w:tcPr>
          <w:p w14:paraId="2981D151">
            <w:pPr>
              <w:rPr>
                <w:rFonts w:hint="default" w:ascii="Times New Roman" w:hAnsi="Times New Roman" w:cs="Times New Roman"/>
                <w:sz w:val="18"/>
                <w:szCs w:val="18"/>
                <w:vertAlign w:val="baseline"/>
                <w:lang w:val="en-US" w:eastAsia="zh-CN"/>
              </w:rPr>
            </w:pPr>
          </w:p>
        </w:tc>
        <w:tc>
          <w:tcPr>
            <w:tcW w:w="885" w:type="dxa"/>
          </w:tcPr>
          <w:p w14:paraId="2AB8DE6D">
            <w:pPr>
              <w:rPr>
                <w:rFonts w:hint="default" w:ascii="Times New Roman" w:hAnsi="Times New Roman" w:cs="Times New Roman"/>
                <w:sz w:val="18"/>
                <w:szCs w:val="18"/>
                <w:vertAlign w:val="baseline"/>
                <w:lang w:val="en-US" w:eastAsia="zh-CN"/>
              </w:rPr>
            </w:pPr>
          </w:p>
        </w:tc>
      </w:tr>
      <w:tr w14:paraId="7E59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160BB8EB">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w:t>
            </w:r>
          </w:p>
        </w:tc>
        <w:tc>
          <w:tcPr>
            <w:tcW w:w="1185" w:type="dxa"/>
          </w:tcPr>
          <w:p w14:paraId="3B38A1C7">
            <w:pPr>
              <w:rPr>
                <w:rFonts w:hint="default" w:ascii="Times New Roman" w:hAnsi="Times New Roman" w:cs="Times New Roman"/>
                <w:sz w:val="18"/>
                <w:szCs w:val="18"/>
                <w:vertAlign w:val="baseline"/>
                <w:lang w:val="en-US" w:eastAsia="zh-CN"/>
              </w:rPr>
            </w:pPr>
          </w:p>
        </w:tc>
        <w:tc>
          <w:tcPr>
            <w:tcW w:w="1410" w:type="dxa"/>
          </w:tcPr>
          <w:p w14:paraId="2A5EE64C">
            <w:pPr>
              <w:rPr>
                <w:rFonts w:hint="default" w:ascii="Times New Roman" w:hAnsi="Times New Roman" w:cs="Times New Roman"/>
                <w:sz w:val="18"/>
                <w:szCs w:val="18"/>
                <w:vertAlign w:val="baseline"/>
                <w:lang w:val="en-US" w:eastAsia="zh-CN"/>
              </w:rPr>
            </w:pPr>
          </w:p>
        </w:tc>
        <w:tc>
          <w:tcPr>
            <w:tcW w:w="975" w:type="dxa"/>
          </w:tcPr>
          <w:p w14:paraId="399B5C10">
            <w:pPr>
              <w:rPr>
                <w:rFonts w:hint="default" w:ascii="Times New Roman" w:hAnsi="Times New Roman" w:cs="Times New Roman"/>
                <w:sz w:val="18"/>
                <w:szCs w:val="18"/>
                <w:vertAlign w:val="baseline"/>
                <w:lang w:val="en-US" w:eastAsia="zh-CN"/>
              </w:rPr>
            </w:pPr>
          </w:p>
        </w:tc>
        <w:tc>
          <w:tcPr>
            <w:tcW w:w="600" w:type="dxa"/>
          </w:tcPr>
          <w:p w14:paraId="4F4F9436">
            <w:pPr>
              <w:rPr>
                <w:rFonts w:hint="default" w:ascii="Times New Roman" w:hAnsi="Times New Roman" w:cs="Times New Roman"/>
                <w:sz w:val="18"/>
                <w:szCs w:val="18"/>
                <w:vertAlign w:val="baseline"/>
                <w:lang w:val="en-US" w:eastAsia="zh-CN"/>
              </w:rPr>
            </w:pPr>
          </w:p>
        </w:tc>
        <w:tc>
          <w:tcPr>
            <w:tcW w:w="1380" w:type="dxa"/>
          </w:tcPr>
          <w:p w14:paraId="1F30E3CD">
            <w:pPr>
              <w:rPr>
                <w:rFonts w:hint="default" w:ascii="Times New Roman" w:hAnsi="Times New Roman" w:cs="Times New Roman"/>
                <w:sz w:val="18"/>
                <w:szCs w:val="18"/>
                <w:vertAlign w:val="baseline"/>
                <w:lang w:val="en-US" w:eastAsia="zh-CN"/>
              </w:rPr>
            </w:pPr>
          </w:p>
        </w:tc>
        <w:tc>
          <w:tcPr>
            <w:tcW w:w="885" w:type="dxa"/>
            <w:vMerge w:val="continue"/>
          </w:tcPr>
          <w:p w14:paraId="61611813">
            <w:pPr>
              <w:rPr>
                <w:rFonts w:hint="default" w:ascii="Times New Roman" w:hAnsi="Times New Roman" w:cs="Times New Roman"/>
                <w:sz w:val="18"/>
                <w:szCs w:val="18"/>
                <w:vertAlign w:val="baseline"/>
                <w:lang w:val="en-US" w:eastAsia="zh-CN"/>
              </w:rPr>
            </w:pPr>
          </w:p>
        </w:tc>
        <w:tc>
          <w:tcPr>
            <w:tcW w:w="1110" w:type="dxa"/>
          </w:tcPr>
          <w:p w14:paraId="00C4F053">
            <w:pPr>
              <w:rPr>
                <w:rFonts w:hint="default" w:ascii="Times New Roman" w:hAnsi="Times New Roman" w:cs="Times New Roman"/>
                <w:sz w:val="18"/>
                <w:szCs w:val="18"/>
                <w:vertAlign w:val="baseline"/>
                <w:lang w:val="en-US" w:eastAsia="zh-CN"/>
              </w:rPr>
            </w:pPr>
          </w:p>
        </w:tc>
        <w:tc>
          <w:tcPr>
            <w:tcW w:w="720" w:type="dxa"/>
          </w:tcPr>
          <w:p w14:paraId="4345C9CF">
            <w:pPr>
              <w:rPr>
                <w:rFonts w:hint="default" w:ascii="Times New Roman" w:hAnsi="Times New Roman" w:cs="Times New Roman"/>
                <w:sz w:val="18"/>
                <w:szCs w:val="18"/>
                <w:vertAlign w:val="baseline"/>
                <w:lang w:val="en-US" w:eastAsia="zh-CN"/>
              </w:rPr>
            </w:pPr>
          </w:p>
        </w:tc>
        <w:tc>
          <w:tcPr>
            <w:tcW w:w="885" w:type="dxa"/>
          </w:tcPr>
          <w:p w14:paraId="2E897505">
            <w:pPr>
              <w:rPr>
                <w:rFonts w:hint="default" w:ascii="Times New Roman" w:hAnsi="Times New Roman" w:cs="Times New Roman"/>
                <w:sz w:val="18"/>
                <w:szCs w:val="18"/>
                <w:vertAlign w:val="baseline"/>
                <w:lang w:val="en-US" w:eastAsia="zh-CN"/>
              </w:rPr>
            </w:pPr>
          </w:p>
        </w:tc>
      </w:tr>
      <w:tr w14:paraId="5C3E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0369786E">
            <w:pPr>
              <w:jc w:val="center"/>
              <w:rPr>
                <w:rFonts w:hint="default" w:ascii="Times New Roman" w:hAnsi="Times New Roman" w:cs="Times New Roman"/>
                <w:sz w:val="18"/>
                <w:szCs w:val="18"/>
                <w:vertAlign w:val="baseline"/>
                <w:lang w:val="en-US" w:eastAsia="zh-CN"/>
              </w:rPr>
            </w:pPr>
            <w:bookmarkStart w:id="139" w:name="OLE_LINK2"/>
            <w:r>
              <w:rPr>
                <w:rFonts w:hint="eastAsia" w:ascii="Times New Roman" w:hAnsi="Times New Roman" w:cs="Times New Roman"/>
                <w:sz w:val="18"/>
                <w:szCs w:val="18"/>
                <w:vertAlign w:val="baseline"/>
                <w:lang w:val="en-US" w:eastAsia="zh-CN"/>
              </w:rPr>
              <w:t>4</w:t>
            </w:r>
          </w:p>
        </w:tc>
        <w:tc>
          <w:tcPr>
            <w:tcW w:w="1185" w:type="dxa"/>
          </w:tcPr>
          <w:p w14:paraId="3A2CD7BD">
            <w:pPr>
              <w:rPr>
                <w:rFonts w:hint="default" w:ascii="Times New Roman" w:hAnsi="Times New Roman" w:cs="Times New Roman"/>
                <w:sz w:val="18"/>
                <w:szCs w:val="18"/>
                <w:vertAlign w:val="baseline"/>
                <w:lang w:val="en-US" w:eastAsia="zh-CN"/>
              </w:rPr>
            </w:pPr>
          </w:p>
        </w:tc>
        <w:tc>
          <w:tcPr>
            <w:tcW w:w="1410" w:type="dxa"/>
          </w:tcPr>
          <w:p w14:paraId="3C0E4C3C">
            <w:pPr>
              <w:rPr>
                <w:rFonts w:hint="default" w:ascii="Times New Roman" w:hAnsi="Times New Roman" w:cs="Times New Roman"/>
                <w:sz w:val="18"/>
                <w:szCs w:val="18"/>
                <w:vertAlign w:val="baseline"/>
                <w:lang w:val="en-US" w:eastAsia="zh-CN"/>
              </w:rPr>
            </w:pPr>
          </w:p>
        </w:tc>
        <w:tc>
          <w:tcPr>
            <w:tcW w:w="975" w:type="dxa"/>
          </w:tcPr>
          <w:p w14:paraId="3FEB3421">
            <w:pPr>
              <w:rPr>
                <w:rFonts w:hint="default" w:ascii="Times New Roman" w:hAnsi="Times New Roman" w:cs="Times New Roman"/>
                <w:sz w:val="18"/>
                <w:szCs w:val="18"/>
                <w:vertAlign w:val="baseline"/>
                <w:lang w:val="en-US" w:eastAsia="zh-CN"/>
              </w:rPr>
            </w:pPr>
          </w:p>
        </w:tc>
        <w:tc>
          <w:tcPr>
            <w:tcW w:w="600" w:type="dxa"/>
          </w:tcPr>
          <w:p w14:paraId="0375659F">
            <w:pPr>
              <w:rPr>
                <w:rFonts w:hint="default" w:ascii="Times New Roman" w:hAnsi="Times New Roman" w:cs="Times New Roman"/>
                <w:sz w:val="18"/>
                <w:szCs w:val="18"/>
                <w:vertAlign w:val="baseline"/>
                <w:lang w:val="en-US" w:eastAsia="zh-CN"/>
              </w:rPr>
            </w:pPr>
          </w:p>
        </w:tc>
        <w:tc>
          <w:tcPr>
            <w:tcW w:w="1380" w:type="dxa"/>
          </w:tcPr>
          <w:p w14:paraId="20812A72">
            <w:pPr>
              <w:rPr>
                <w:rFonts w:hint="default" w:ascii="Times New Roman" w:hAnsi="Times New Roman" w:cs="Times New Roman"/>
                <w:sz w:val="18"/>
                <w:szCs w:val="18"/>
                <w:vertAlign w:val="baseline"/>
                <w:lang w:val="en-US" w:eastAsia="zh-CN"/>
              </w:rPr>
            </w:pPr>
          </w:p>
        </w:tc>
        <w:tc>
          <w:tcPr>
            <w:tcW w:w="885" w:type="dxa"/>
            <w:vMerge w:val="continue"/>
          </w:tcPr>
          <w:p w14:paraId="1827EA69">
            <w:pPr>
              <w:rPr>
                <w:rFonts w:hint="default" w:ascii="Times New Roman" w:hAnsi="Times New Roman" w:cs="Times New Roman"/>
                <w:sz w:val="18"/>
                <w:szCs w:val="18"/>
                <w:vertAlign w:val="baseline"/>
                <w:lang w:val="en-US" w:eastAsia="zh-CN"/>
              </w:rPr>
            </w:pPr>
          </w:p>
        </w:tc>
        <w:tc>
          <w:tcPr>
            <w:tcW w:w="1110" w:type="dxa"/>
          </w:tcPr>
          <w:p w14:paraId="5E5C0664">
            <w:pPr>
              <w:rPr>
                <w:rFonts w:hint="default" w:ascii="Times New Roman" w:hAnsi="Times New Roman" w:cs="Times New Roman"/>
                <w:sz w:val="18"/>
                <w:szCs w:val="18"/>
                <w:vertAlign w:val="baseline"/>
                <w:lang w:val="en-US" w:eastAsia="zh-CN"/>
              </w:rPr>
            </w:pPr>
          </w:p>
        </w:tc>
        <w:tc>
          <w:tcPr>
            <w:tcW w:w="720" w:type="dxa"/>
          </w:tcPr>
          <w:p w14:paraId="32E489BA">
            <w:pPr>
              <w:rPr>
                <w:rFonts w:hint="default" w:ascii="Times New Roman" w:hAnsi="Times New Roman" w:cs="Times New Roman"/>
                <w:sz w:val="18"/>
                <w:szCs w:val="18"/>
                <w:vertAlign w:val="baseline"/>
                <w:lang w:val="en-US" w:eastAsia="zh-CN"/>
              </w:rPr>
            </w:pPr>
          </w:p>
        </w:tc>
        <w:tc>
          <w:tcPr>
            <w:tcW w:w="885" w:type="dxa"/>
          </w:tcPr>
          <w:p w14:paraId="153BD85B">
            <w:pPr>
              <w:rPr>
                <w:rFonts w:hint="default" w:ascii="Times New Roman" w:hAnsi="Times New Roman" w:cs="Times New Roman"/>
                <w:sz w:val="18"/>
                <w:szCs w:val="18"/>
                <w:vertAlign w:val="baseline"/>
                <w:lang w:val="en-US" w:eastAsia="zh-CN"/>
              </w:rPr>
            </w:pPr>
          </w:p>
        </w:tc>
      </w:tr>
      <w:tr w14:paraId="5ECB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0271379D">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5</w:t>
            </w:r>
          </w:p>
        </w:tc>
        <w:tc>
          <w:tcPr>
            <w:tcW w:w="1185" w:type="dxa"/>
          </w:tcPr>
          <w:p w14:paraId="226F1B6F">
            <w:pPr>
              <w:rPr>
                <w:rFonts w:hint="default" w:ascii="Times New Roman" w:hAnsi="Times New Roman" w:cs="Times New Roman"/>
                <w:sz w:val="18"/>
                <w:szCs w:val="18"/>
                <w:vertAlign w:val="baseline"/>
                <w:lang w:val="en-US" w:eastAsia="zh-CN"/>
              </w:rPr>
            </w:pPr>
          </w:p>
        </w:tc>
        <w:tc>
          <w:tcPr>
            <w:tcW w:w="1410" w:type="dxa"/>
          </w:tcPr>
          <w:p w14:paraId="033091E9">
            <w:pPr>
              <w:rPr>
                <w:rFonts w:hint="default" w:ascii="Times New Roman" w:hAnsi="Times New Roman" w:cs="Times New Roman"/>
                <w:sz w:val="18"/>
                <w:szCs w:val="18"/>
                <w:vertAlign w:val="baseline"/>
                <w:lang w:val="en-US" w:eastAsia="zh-CN"/>
              </w:rPr>
            </w:pPr>
          </w:p>
        </w:tc>
        <w:tc>
          <w:tcPr>
            <w:tcW w:w="975" w:type="dxa"/>
          </w:tcPr>
          <w:p w14:paraId="54153DEF">
            <w:pPr>
              <w:rPr>
                <w:rFonts w:hint="default" w:ascii="Times New Roman" w:hAnsi="Times New Roman" w:cs="Times New Roman"/>
                <w:sz w:val="18"/>
                <w:szCs w:val="18"/>
                <w:vertAlign w:val="baseline"/>
                <w:lang w:val="en-US" w:eastAsia="zh-CN"/>
              </w:rPr>
            </w:pPr>
          </w:p>
        </w:tc>
        <w:tc>
          <w:tcPr>
            <w:tcW w:w="600" w:type="dxa"/>
          </w:tcPr>
          <w:p w14:paraId="15F340E1">
            <w:pPr>
              <w:rPr>
                <w:rFonts w:hint="default" w:ascii="Times New Roman" w:hAnsi="Times New Roman" w:cs="Times New Roman"/>
                <w:sz w:val="18"/>
                <w:szCs w:val="18"/>
                <w:vertAlign w:val="baseline"/>
                <w:lang w:val="en-US" w:eastAsia="zh-CN"/>
              </w:rPr>
            </w:pPr>
          </w:p>
        </w:tc>
        <w:tc>
          <w:tcPr>
            <w:tcW w:w="1380" w:type="dxa"/>
          </w:tcPr>
          <w:p w14:paraId="0E78431A">
            <w:pPr>
              <w:rPr>
                <w:rFonts w:hint="default" w:ascii="Times New Roman" w:hAnsi="Times New Roman" w:cs="Times New Roman"/>
                <w:sz w:val="18"/>
                <w:szCs w:val="18"/>
                <w:vertAlign w:val="baseline"/>
                <w:lang w:val="en-US" w:eastAsia="zh-CN"/>
              </w:rPr>
            </w:pPr>
          </w:p>
        </w:tc>
        <w:tc>
          <w:tcPr>
            <w:tcW w:w="885" w:type="dxa"/>
            <w:vMerge w:val="continue"/>
          </w:tcPr>
          <w:p w14:paraId="33FC6FAD">
            <w:pPr>
              <w:rPr>
                <w:rFonts w:hint="default" w:ascii="Times New Roman" w:hAnsi="Times New Roman" w:cs="Times New Roman"/>
                <w:sz w:val="18"/>
                <w:szCs w:val="18"/>
                <w:vertAlign w:val="baseline"/>
                <w:lang w:val="en-US" w:eastAsia="zh-CN"/>
              </w:rPr>
            </w:pPr>
          </w:p>
        </w:tc>
        <w:tc>
          <w:tcPr>
            <w:tcW w:w="1110" w:type="dxa"/>
          </w:tcPr>
          <w:p w14:paraId="7C02E1AC">
            <w:pPr>
              <w:rPr>
                <w:rFonts w:hint="default" w:ascii="Times New Roman" w:hAnsi="Times New Roman" w:cs="Times New Roman"/>
                <w:sz w:val="18"/>
                <w:szCs w:val="18"/>
                <w:vertAlign w:val="baseline"/>
                <w:lang w:val="en-US" w:eastAsia="zh-CN"/>
              </w:rPr>
            </w:pPr>
          </w:p>
        </w:tc>
        <w:tc>
          <w:tcPr>
            <w:tcW w:w="720" w:type="dxa"/>
          </w:tcPr>
          <w:p w14:paraId="629DB4FA">
            <w:pPr>
              <w:rPr>
                <w:rFonts w:hint="default" w:ascii="Times New Roman" w:hAnsi="Times New Roman" w:cs="Times New Roman"/>
                <w:sz w:val="18"/>
                <w:szCs w:val="18"/>
                <w:vertAlign w:val="baseline"/>
                <w:lang w:val="en-US" w:eastAsia="zh-CN"/>
              </w:rPr>
            </w:pPr>
          </w:p>
        </w:tc>
        <w:tc>
          <w:tcPr>
            <w:tcW w:w="885" w:type="dxa"/>
          </w:tcPr>
          <w:p w14:paraId="01BB77B4">
            <w:pPr>
              <w:rPr>
                <w:rFonts w:hint="default" w:ascii="Times New Roman" w:hAnsi="Times New Roman" w:cs="Times New Roman"/>
                <w:sz w:val="18"/>
                <w:szCs w:val="18"/>
                <w:vertAlign w:val="baseline"/>
                <w:lang w:val="en-US" w:eastAsia="zh-CN"/>
              </w:rPr>
            </w:pPr>
          </w:p>
        </w:tc>
      </w:tr>
      <w:tr w14:paraId="77CC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682B5815">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6</w:t>
            </w:r>
          </w:p>
        </w:tc>
        <w:tc>
          <w:tcPr>
            <w:tcW w:w="1185" w:type="dxa"/>
          </w:tcPr>
          <w:p w14:paraId="3532C547">
            <w:pPr>
              <w:rPr>
                <w:rFonts w:hint="default" w:ascii="Times New Roman" w:hAnsi="Times New Roman" w:cs="Times New Roman"/>
                <w:sz w:val="18"/>
                <w:szCs w:val="18"/>
                <w:vertAlign w:val="baseline"/>
                <w:lang w:val="en-US" w:eastAsia="zh-CN"/>
              </w:rPr>
            </w:pPr>
          </w:p>
        </w:tc>
        <w:tc>
          <w:tcPr>
            <w:tcW w:w="1410" w:type="dxa"/>
          </w:tcPr>
          <w:p w14:paraId="5103E4C4">
            <w:pPr>
              <w:rPr>
                <w:rFonts w:hint="default" w:ascii="Times New Roman" w:hAnsi="Times New Roman" w:cs="Times New Roman"/>
                <w:sz w:val="18"/>
                <w:szCs w:val="18"/>
                <w:vertAlign w:val="baseline"/>
                <w:lang w:val="en-US" w:eastAsia="zh-CN"/>
              </w:rPr>
            </w:pPr>
          </w:p>
        </w:tc>
        <w:tc>
          <w:tcPr>
            <w:tcW w:w="975" w:type="dxa"/>
          </w:tcPr>
          <w:p w14:paraId="004E8E63">
            <w:pPr>
              <w:rPr>
                <w:rFonts w:hint="default" w:ascii="Times New Roman" w:hAnsi="Times New Roman" w:cs="Times New Roman"/>
                <w:sz w:val="18"/>
                <w:szCs w:val="18"/>
                <w:vertAlign w:val="baseline"/>
                <w:lang w:val="en-US" w:eastAsia="zh-CN"/>
              </w:rPr>
            </w:pPr>
          </w:p>
        </w:tc>
        <w:tc>
          <w:tcPr>
            <w:tcW w:w="600" w:type="dxa"/>
          </w:tcPr>
          <w:p w14:paraId="0426D48E">
            <w:pPr>
              <w:rPr>
                <w:rFonts w:hint="default" w:ascii="Times New Roman" w:hAnsi="Times New Roman" w:cs="Times New Roman"/>
                <w:sz w:val="18"/>
                <w:szCs w:val="18"/>
                <w:vertAlign w:val="baseline"/>
                <w:lang w:val="en-US" w:eastAsia="zh-CN"/>
              </w:rPr>
            </w:pPr>
          </w:p>
        </w:tc>
        <w:tc>
          <w:tcPr>
            <w:tcW w:w="1380" w:type="dxa"/>
          </w:tcPr>
          <w:p w14:paraId="5BB9B912">
            <w:pPr>
              <w:rPr>
                <w:rFonts w:hint="default" w:ascii="Times New Roman" w:hAnsi="Times New Roman" w:cs="Times New Roman"/>
                <w:sz w:val="18"/>
                <w:szCs w:val="18"/>
                <w:vertAlign w:val="baseline"/>
                <w:lang w:val="en-US" w:eastAsia="zh-CN"/>
              </w:rPr>
            </w:pPr>
          </w:p>
        </w:tc>
        <w:tc>
          <w:tcPr>
            <w:tcW w:w="885" w:type="dxa"/>
            <w:vMerge w:val="continue"/>
          </w:tcPr>
          <w:p w14:paraId="0A0D2B4C">
            <w:pPr>
              <w:rPr>
                <w:rFonts w:hint="default" w:ascii="Times New Roman" w:hAnsi="Times New Roman" w:cs="Times New Roman"/>
                <w:sz w:val="18"/>
                <w:szCs w:val="18"/>
                <w:vertAlign w:val="baseline"/>
                <w:lang w:val="en-US" w:eastAsia="zh-CN"/>
              </w:rPr>
            </w:pPr>
          </w:p>
        </w:tc>
        <w:tc>
          <w:tcPr>
            <w:tcW w:w="1110" w:type="dxa"/>
          </w:tcPr>
          <w:p w14:paraId="1287B720">
            <w:pPr>
              <w:rPr>
                <w:rFonts w:hint="default" w:ascii="Times New Roman" w:hAnsi="Times New Roman" w:cs="Times New Roman"/>
                <w:sz w:val="18"/>
                <w:szCs w:val="18"/>
                <w:vertAlign w:val="baseline"/>
                <w:lang w:val="en-US" w:eastAsia="zh-CN"/>
              </w:rPr>
            </w:pPr>
          </w:p>
        </w:tc>
        <w:tc>
          <w:tcPr>
            <w:tcW w:w="720" w:type="dxa"/>
          </w:tcPr>
          <w:p w14:paraId="6CBA19F0">
            <w:pPr>
              <w:rPr>
                <w:rFonts w:hint="default" w:ascii="Times New Roman" w:hAnsi="Times New Roman" w:cs="Times New Roman"/>
                <w:sz w:val="18"/>
                <w:szCs w:val="18"/>
                <w:vertAlign w:val="baseline"/>
                <w:lang w:val="en-US" w:eastAsia="zh-CN"/>
              </w:rPr>
            </w:pPr>
          </w:p>
        </w:tc>
        <w:tc>
          <w:tcPr>
            <w:tcW w:w="885" w:type="dxa"/>
          </w:tcPr>
          <w:p w14:paraId="650B7365">
            <w:pPr>
              <w:rPr>
                <w:rFonts w:hint="default" w:ascii="Times New Roman" w:hAnsi="Times New Roman" w:cs="Times New Roman"/>
                <w:sz w:val="18"/>
                <w:szCs w:val="18"/>
                <w:vertAlign w:val="baseline"/>
                <w:lang w:val="en-US" w:eastAsia="zh-CN"/>
              </w:rPr>
            </w:pPr>
          </w:p>
        </w:tc>
      </w:tr>
      <w:tr w14:paraId="6C08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5825D3C7">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7</w:t>
            </w:r>
          </w:p>
        </w:tc>
        <w:tc>
          <w:tcPr>
            <w:tcW w:w="1185" w:type="dxa"/>
          </w:tcPr>
          <w:p w14:paraId="45415B7E">
            <w:pPr>
              <w:rPr>
                <w:rFonts w:hint="default" w:ascii="Times New Roman" w:hAnsi="Times New Roman" w:cs="Times New Roman"/>
                <w:sz w:val="18"/>
                <w:szCs w:val="18"/>
                <w:vertAlign w:val="baseline"/>
                <w:lang w:val="en-US" w:eastAsia="zh-CN"/>
              </w:rPr>
            </w:pPr>
          </w:p>
        </w:tc>
        <w:tc>
          <w:tcPr>
            <w:tcW w:w="1410" w:type="dxa"/>
          </w:tcPr>
          <w:p w14:paraId="5F19625E">
            <w:pPr>
              <w:rPr>
                <w:rFonts w:hint="default" w:ascii="Times New Roman" w:hAnsi="Times New Roman" w:cs="Times New Roman"/>
                <w:sz w:val="18"/>
                <w:szCs w:val="18"/>
                <w:vertAlign w:val="baseline"/>
                <w:lang w:val="en-US" w:eastAsia="zh-CN"/>
              </w:rPr>
            </w:pPr>
          </w:p>
        </w:tc>
        <w:tc>
          <w:tcPr>
            <w:tcW w:w="975" w:type="dxa"/>
          </w:tcPr>
          <w:p w14:paraId="287AF5F8">
            <w:pPr>
              <w:rPr>
                <w:rFonts w:hint="default" w:ascii="Times New Roman" w:hAnsi="Times New Roman" w:cs="Times New Roman"/>
                <w:sz w:val="18"/>
                <w:szCs w:val="18"/>
                <w:vertAlign w:val="baseline"/>
                <w:lang w:val="en-US" w:eastAsia="zh-CN"/>
              </w:rPr>
            </w:pPr>
          </w:p>
        </w:tc>
        <w:tc>
          <w:tcPr>
            <w:tcW w:w="600" w:type="dxa"/>
          </w:tcPr>
          <w:p w14:paraId="50BB33CB">
            <w:pPr>
              <w:rPr>
                <w:rFonts w:hint="default" w:ascii="Times New Roman" w:hAnsi="Times New Roman" w:cs="Times New Roman"/>
                <w:sz w:val="18"/>
                <w:szCs w:val="18"/>
                <w:vertAlign w:val="baseline"/>
                <w:lang w:val="en-US" w:eastAsia="zh-CN"/>
              </w:rPr>
            </w:pPr>
          </w:p>
        </w:tc>
        <w:tc>
          <w:tcPr>
            <w:tcW w:w="1380" w:type="dxa"/>
          </w:tcPr>
          <w:p w14:paraId="2A90802F">
            <w:pPr>
              <w:rPr>
                <w:rFonts w:hint="default" w:ascii="Times New Roman" w:hAnsi="Times New Roman" w:cs="Times New Roman"/>
                <w:sz w:val="18"/>
                <w:szCs w:val="18"/>
                <w:vertAlign w:val="baseline"/>
                <w:lang w:val="en-US" w:eastAsia="zh-CN"/>
              </w:rPr>
            </w:pPr>
          </w:p>
        </w:tc>
        <w:tc>
          <w:tcPr>
            <w:tcW w:w="885" w:type="dxa"/>
            <w:vMerge w:val="continue"/>
          </w:tcPr>
          <w:p w14:paraId="64BC2416">
            <w:pPr>
              <w:rPr>
                <w:rFonts w:hint="default" w:ascii="Times New Roman" w:hAnsi="Times New Roman" w:cs="Times New Roman"/>
                <w:sz w:val="18"/>
                <w:szCs w:val="18"/>
                <w:vertAlign w:val="baseline"/>
                <w:lang w:val="en-US" w:eastAsia="zh-CN"/>
              </w:rPr>
            </w:pPr>
          </w:p>
        </w:tc>
        <w:tc>
          <w:tcPr>
            <w:tcW w:w="1110" w:type="dxa"/>
          </w:tcPr>
          <w:p w14:paraId="3401ABB0">
            <w:pPr>
              <w:rPr>
                <w:rFonts w:hint="default" w:ascii="Times New Roman" w:hAnsi="Times New Roman" w:cs="Times New Roman"/>
                <w:sz w:val="18"/>
                <w:szCs w:val="18"/>
                <w:vertAlign w:val="baseline"/>
                <w:lang w:val="en-US" w:eastAsia="zh-CN"/>
              </w:rPr>
            </w:pPr>
          </w:p>
        </w:tc>
        <w:tc>
          <w:tcPr>
            <w:tcW w:w="720" w:type="dxa"/>
          </w:tcPr>
          <w:p w14:paraId="659DDA22">
            <w:pPr>
              <w:rPr>
                <w:rFonts w:hint="default" w:ascii="Times New Roman" w:hAnsi="Times New Roman" w:cs="Times New Roman"/>
                <w:sz w:val="18"/>
                <w:szCs w:val="18"/>
                <w:vertAlign w:val="baseline"/>
                <w:lang w:val="en-US" w:eastAsia="zh-CN"/>
              </w:rPr>
            </w:pPr>
          </w:p>
        </w:tc>
        <w:tc>
          <w:tcPr>
            <w:tcW w:w="885" w:type="dxa"/>
          </w:tcPr>
          <w:p w14:paraId="511A482B">
            <w:pPr>
              <w:rPr>
                <w:rFonts w:hint="default" w:ascii="Times New Roman" w:hAnsi="Times New Roman" w:cs="Times New Roman"/>
                <w:sz w:val="18"/>
                <w:szCs w:val="18"/>
                <w:vertAlign w:val="baseline"/>
                <w:lang w:val="en-US" w:eastAsia="zh-CN"/>
              </w:rPr>
            </w:pPr>
          </w:p>
        </w:tc>
      </w:tr>
      <w:tr w14:paraId="3E24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7E78B70A">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w:t>
            </w:r>
          </w:p>
        </w:tc>
        <w:tc>
          <w:tcPr>
            <w:tcW w:w="1185" w:type="dxa"/>
          </w:tcPr>
          <w:p w14:paraId="47603DC5">
            <w:pPr>
              <w:rPr>
                <w:rFonts w:hint="default" w:ascii="Times New Roman" w:hAnsi="Times New Roman" w:cs="Times New Roman"/>
                <w:sz w:val="18"/>
                <w:szCs w:val="18"/>
                <w:vertAlign w:val="baseline"/>
                <w:lang w:val="en-US" w:eastAsia="zh-CN"/>
              </w:rPr>
            </w:pPr>
          </w:p>
        </w:tc>
        <w:tc>
          <w:tcPr>
            <w:tcW w:w="1410" w:type="dxa"/>
          </w:tcPr>
          <w:p w14:paraId="02E5250C">
            <w:pPr>
              <w:rPr>
                <w:rFonts w:hint="default" w:ascii="Times New Roman" w:hAnsi="Times New Roman" w:cs="Times New Roman"/>
                <w:sz w:val="18"/>
                <w:szCs w:val="18"/>
                <w:vertAlign w:val="baseline"/>
                <w:lang w:val="en-US" w:eastAsia="zh-CN"/>
              </w:rPr>
            </w:pPr>
          </w:p>
        </w:tc>
        <w:tc>
          <w:tcPr>
            <w:tcW w:w="975" w:type="dxa"/>
          </w:tcPr>
          <w:p w14:paraId="2103FB56">
            <w:pPr>
              <w:rPr>
                <w:rFonts w:hint="default" w:ascii="Times New Roman" w:hAnsi="Times New Roman" w:cs="Times New Roman"/>
                <w:sz w:val="18"/>
                <w:szCs w:val="18"/>
                <w:vertAlign w:val="baseline"/>
                <w:lang w:val="en-US" w:eastAsia="zh-CN"/>
              </w:rPr>
            </w:pPr>
          </w:p>
        </w:tc>
        <w:tc>
          <w:tcPr>
            <w:tcW w:w="600" w:type="dxa"/>
          </w:tcPr>
          <w:p w14:paraId="6B1CF692">
            <w:pPr>
              <w:rPr>
                <w:rFonts w:hint="default" w:ascii="Times New Roman" w:hAnsi="Times New Roman" w:cs="Times New Roman"/>
                <w:sz w:val="18"/>
                <w:szCs w:val="18"/>
                <w:vertAlign w:val="baseline"/>
                <w:lang w:val="en-US" w:eastAsia="zh-CN"/>
              </w:rPr>
            </w:pPr>
          </w:p>
        </w:tc>
        <w:tc>
          <w:tcPr>
            <w:tcW w:w="1380" w:type="dxa"/>
          </w:tcPr>
          <w:p w14:paraId="74DEE7FA">
            <w:pPr>
              <w:rPr>
                <w:rFonts w:hint="default" w:ascii="Times New Roman" w:hAnsi="Times New Roman" w:cs="Times New Roman"/>
                <w:sz w:val="18"/>
                <w:szCs w:val="18"/>
                <w:vertAlign w:val="baseline"/>
                <w:lang w:val="en-US" w:eastAsia="zh-CN"/>
              </w:rPr>
            </w:pPr>
          </w:p>
        </w:tc>
        <w:tc>
          <w:tcPr>
            <w:tcW w:w="885" w:type="dxa"/>
            <w:vMerge w:val="continue"/>
          </w:tcPr>
          <w:p w14:paraId="17BAA019">
            <w:pPr>
              <w:rPr>
                <w:rFonts w:hint="default" w:ascii="Times New Roman" w:hAnsi="Times New Roman" w:cs="Times New Roman"/>
                <w:sz w:val="18"/>
                <w:szCs w:val="18"/>
                <w:vertAlign w:val="baseline"/>
                <w:lang w:val="en-US" w:eastAsia="zh-CN"/>
              </w:rPr>
            </w:pPr>
          </w:p>
        </w:tc>
        <w:tc>
          <w:tcPr>
            <w:tcW w:w="1110" w:type="dxa"/>
          </w:tcPr>
          <w:p w14:paraId="2601E8D2">
            <w:pPr>
              <w:rPr>
                <w:rFonts w:hint="default" w:ascii="Times New Roman" w:hAnsi="Times New Roman" w:cs="Times New Roman"/>
                <w:sz w:val="18"/>
                <w:szCs w:val="18"/>
                <w:vertAlign w:val="baseline"/>
                <w:lang w:val="en-US" w:eastAsia="zh-CN"/>
              </w:rPr>
            </w:pPr>
          </w:p>
        </w:tc>
        <w:tc>
          <w:tcPr>
            <w:tcW w:w="720" w:type="dxa"/>
          </w:tcPr>
          <w:p w14:paraId="20F5CCD0">
            <w:pPr>
              <w:rPr>
                <w:rFonts w:hint="default" w:ascii="Times New Roman" w:hAnsi="Times New Roman" w:cs="Times New Roman"/>
                <w:sz w:val="18"/>
                <w:szCs w:val="18"/>
                <w:vertAlign w:val="baseline"/>
                <w:lang w:val="en-US" w:eastAsia="zh-CN"/>
              </w:rPr>
            </w:pPr>
          </w:p>
        </w:tc>
        <w:tc>
          <w:tcPr>
            <w:tcW w:w="885" w:type="dxa"/>
          </w:tcPr>
          <w:p w14:paraId="5BAE3126">
            <w:pPr>
              <w:rPr>
                <w:rFonts w:hint="default" w:ascii="Times New Roman" w:hAnsi="Times New Roman" w:cs="Times New Roman"/>
                <w:sz w:val="18"/>
                <w:szCs w:val="18"/>
                <w:vertAlign w:val="baseline"/>
                <w:lang w:val="en-US" w:eastAsia="zh-CN"/>
              </w:rPr>
            </w:pPr>
          </w:p>
        </w:tc>
      </w:tr>
      <w:tr w14:paraId="3956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6A2F37B7">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9</w:t>
            </w:r>
          </w:p>
        </w:tc>
        <w:tc>
          <w:tcPr>
            <w:tcW w:w="1185" w:type="dxa"/>
          </w:tcPr>
          <w:p w14:paraId="320B7E25">
            <w:pPr>
              <w:rPr>
                <w:rFonts w:hint="default" w:ascii="Times New Roman" w:hAnsi="Times New Roman" w:cs="Times New Roman"/>
                <w:sz w:val="18"/>
                <w:szCs w:val="18"/>
                <w:vertAlign w:val="baseline"/>
                <w:lang w:val="en-US" w:eastAsia="zh-CN"/>
              </w:rPr>
            </w:pPr>
          </w:p>
        </w:tc>
        <w:tc>
          <w:tcPr>
            <w:tcW w:w="1410" w:type="dxa"/>
          </w:tcPr>
          <w:p w14:paraId="265B677A">
            <w:pPr>
              <w:rPr>
                <w:rFonts w:hint="default" w:ascii="Times New Roman" w:hAnsi="Times New Roman" w:cs="Times New Roman"/>
                <w:sz w:val="18"/>
                <w:szCs w:val="18"/>
                <w:vertAlign w:val="baseline"/>
                <w:lang w:val="en-US" w:eastAsia="zh-CN"/>
              </w:rPr>
            </w:pPr>
          </w:p>
        </w:tc>
        <w:tc>
          <w:tcPr>
            <w:tcW w:w="975" w:type="dxa"/>
          </w:tcPr>
          <w:p w14:paraId="0BD23801">
            <w:pPr>
              <w:rPr>
                <w:rFonts w:hint="default" w:ascii="Times New Roman" w:hAnsi="Times New Roman" w:cs="Times New Roman"/>
                <w:sz w:val="18"/>
                <w:szCs w:val="18"/>
                <w:vertAlign w:val="baseline"/>
                <w:lang w:val="en-US" w:eastAsia="zh-CN"/>
              </w:rPr>
            </w:pPr>
          </w:p>
        </w:tc>
        <w:tc>
          <w:tcPr>
            <w:tcW w:w="600" w:type="dxa"/>
          </w:tcPr>
          <w:p w14:paraId="29A4A5BC">
            <w:pPr>
              <w:rPr>
                <w:rFonts w:hint="default" w:ascii="Times New Roman" w:hAnsi="Times New Roman" w:cs="Times New Roman"/>
                <w:sz w:val="18"/>
                <w:szCs w:val="18"/>
                <w:vertAlign w:val="baseline"/>
                <w:lang w:val="en-US" w:eastAsia="zh-CN"/>
              </w:rPr>
            </w:pPr>
          </w:p>
        </w:tc>
        <w:tc>
          <w:tcPr>
            <w:tcW w:w="1380" w:type="dxa"/>
          </w:tcPr>
          <w:p w14:paraId="4BD0756C">
            <w:pPr>
              <w:rPr>
                <w:rFonts w:hint="default" w:ascii="Times New Roman" w:hAnsi="Times New Roman" w:cs="Times New Roman"/>
                <w:sz w:val="18"/>
                <w:szCs w:val="18"/>
                <w:vertAlign w:val="baseline"/>
                <w:lang w:val="en-US" w:eastAsia="zh-CN"/>
              </w:rPr>
            </w:pPr>
          </w:p>
        </w:tc>
        <w:tc>
          <w:tcPr>
            <w:tcW w:w="885" w:type="dxa"/>
            <w:vMerge w:val="continue"/>
          </w:tcPr>
          <w:p w14:paraId="0A0AB56F">
            <w:pPr>
              <w:rPr>
                <w:rFonts w:hint="default" w:ascii="Times New Roman" w:hAnsi="Times New Roman" w:cs="Times New Roman"/>
                <w:sz w:val="18"/>
                <w:szCs w:val="18"/>
                <w:vertAlign w:val="baseline"/>
                <w:lang w:val="en-US" w:eastAsia="zh-CN"/>
              </w:rPr>
            </w:pPr>
          </w:p>
        </w:tc>
        <w:tc>
          <w:tcPr>
            <w:tcW w:w="1110" w:type="dxa"/>
          </w:tcPr>
          <w:p w14:paraId="7EED2E21">
            <w:pPr>
              <w:rPr>
                <w:rFonts w:hint="default" w:ascii="Times New Roman" w:hAnsi="Times New Roman" w:cs="Times New Roman"/>
                <w:sz w:val="18"/>
                <w:szCs w:val="18"/>
                <w:vertAlign w:val="baseline"/>
                <w:lang w:val="en-US" w:eastAsia="zh-CN"/>
              </w:rPr>
            </w:pPr>
          </w:p>
        </w:tc>
        <w:tc>
          <w:tcPr>
            <w:tcW w:w="720" w:type="dxa"/>
          </w:tcPr>
          <w:p w14:paraId="1B693F0E">
            <w:pPr>
              <w:rPr>
                <w:rFonts w:hint="default" w:ascii="Times New Roman" w:hAnsi="Times New Roman" w:cs="Times New Roman"/>
                <w:sz w:val="18"/>
                <w:szCs w:val="18"/>
                <w:vertAlign w:val="baseline"/>
                <w:lang w:val="en-US" w:eastAsia="zh-CN"/>
              </w:rPr>
            </w:pPr>
          </w:p>
        </w:tc>
        <w:tc>
          <w:tcPr>
            <w:tcW w:w="885" w:type="dxa"/>
          </w:tcPr>
          <w:p w14:paraId="611C1B6F">
            <w:pPr>
              <w:rPr>
                <w:rFonts w:hint="default" w:ascii="Times New Roman" w:hAnsi="Times New Roman" w:cs="Times New Roman"/>
                <w:sz w:val="18"/>
                <w:szCs w:val="18"/>
                <w:vertAlign w:val="baseline"/>
                <w:lang w:val="en-US" w:eastAsia="zh-CN"/>
              </w:rPr>
            </w:pPr>
          </w:p>
        </w:tc>
      </w:tr>
      <w:tr w14:paraId="137C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25331AE5">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w:t>
            </w:r>
          </w:p>
        </w:tc>
        <w:tc>
          <w:tcPr>
            <w:tcW w:w="1185" w:type="dxa"/>
          </w:tcPr>
          <w:p w14:paraId="33AA5BD0">
            <w:pPr>
              <w:rPr>
                <w:rFonts w:hint="default" w:ascii="Times New Roman" w:hAnsi="Times New Roman" w:cs="Times New Roman"/>
                <w:sz w:val="18"/>
                <w:szCs w:val="18"/>
                <w:vertAlign w:val="baseline"/>
                <w:lang w:val="en-US" w:eastAsia="zh-CN"/>
              </w:rPr>
            </w:pPr>
          </w:p>
        </w:tc>
        <w:tc>
          <w:tcPr>
            <w:tcW w:w="1410" w:type="dxa"/>
          </w:tcPr>
          <w:p w14:paraId="5CBB2E98">
            <w:pPr>
              <w:rPr>
                <w:rFonts w:hint="default" w:ascii="Times New Roman" w:hAnsi="Times New Roman" w:cs="Times New Roman"/>
                <w:sz w:val="18"/>
                <w:szCs w:val="18"/>
                <w:vertAlign w:val="baseline"/>
                <w:lang w:val="en-US" w:eastAsia="zh-CN"/>
              </w:rPr>
            </w:pPr>
          </w:p>
        </w:tc>
        <w:tc>
          <w:tcPr>
            <w:tcW w:w="975" w:type="dxa"/>
          </w:tcPr>
          <w:p w14:paraId="73219AA1">
            <w:pPr>
              <w:rPr>
                <w:rFonts w:hint="default" w:ascii="Times New Roman" w:hAnsi="Times New Roman" w:cs="Times New Roman"/>
                <w:sz w:val="18"/>
                <w:szCs w:val="18"/>
                <w:vertAlign w:val="baseline"/>
                <w:lang w:val="en-US" w:eastAsia="zh-CN"/>
              </w:rPr>
            </w:pPr>
          </w:p>
        </w:tc>
        <w:tc>
          <w:tcPr>
            <w:tcW w:w="600" w:type="dxa"/>
          </w:tcPr>
          <w:p w14:paraId="7F3DBAA8">
            <w:pPr>
              <w:rPr>
                <w:rFonts w:hint="default" w:ascii="Times New Roman" w:hAnsi="Times New Roman" w:cs="Times New Roman"/>
                <w:sz w:val="18"/>
                <w:szCs w:val="18"/>
                <w:vertAlign w:val="baseline"/>
                <w:lang w:val="en-US" w:eastAsia="zh-CN"/>
              </w:rPr>
            </w:pPr>
          </w:p>
        </w:tc>
        <w:tc>
          <w:tcPr>
            <w:tcW w:w="1380" w:type="dxa"/>
          </w:tcPr>
          <w:p w14:paraId="13F2367F">
            <w:pPr>
              <w:rPr>
                <w:rFonts w:hint="default" w:ascii="Times New Roman" w:hAnsi="Times New Roman" w:cs="Times New Roman"/>
                <w:sz w:val="18"/>
                <w:szCs w:val="18"/>
                <w:vertAlign w:val="baseline"/>
                <w:lang w:val="en-US" w:eastAsia="zh-CN"/>
              </w:rPr>
            </w:pPr>
          </w:p>
        </w:tc>
        <w:tc>
          <w:tcPr>
            <w:tcW w:w="885" w:type="dxa"/>
            <w:vMerge w:val="continue"/>
          </w:tcPr>
          <w:p w14:paraId="25CB52F0">
            <w:pPr>
              <w:rPr>
                <w:rFonts w:hint="default" w:ascii="Times New Roman" w:hAnsi="Times New Roman" w:cs="Times New Roman"/>
                <w:sz w:val="18"/>
                <w:szCs w:val="18"/>
                <w:vertAlign w:val="baseline"/>
                <w:lang w:val="en-US" w:eastAsia="zh-CN"/>
              </w:rPr>
            </w:pPr>
          </w:p>
        </w:tc>
        <w:tc>
          <w:tcPr>
            <w:tcW w:w="1110" w:type="dxa"/>
          </w:tcPr>
          <w:p w14:paraId="7620E3F5">
            <w:pPr>
              <w:rPr>
                <w:rFonts w:hint="default" w:ascii="Times New Roman" w:hAnsi="Times New Roman" w:cs="Times New Roman"/>
                <w:sz w:val="18"/>
                <w:szCs w:val="18"/>
                <w:vertAlign w:val="baseline"/>
                <w:lang w:val="en-US" w:eastAsia="zh-CN"/>
              </w:rPr>
            </w:pPr>
          </w:p>
        </w:tc>
        <w:tc>
          <w:tcPr>
            <w:tcW w:w="720" w:type="dxa"/>
          </w:tcPr>
          <w:p w14:paraId="44E1D5D4">
            <w:pPr>
              <w:rPr>
                <w:rFonts w:hint="default" w:ascii="Times New Roman" w:hAnsi="Times New Roman" w:cs="Times New Roman"/>
                <w:sz w:val="18"/>
                <w:szCs w:val="18"/>
                <w:vertAlign w:val="baseline"/>
                <w:lang w:val="en-US" w:eastAsia="zh-CN"/>
              </w:rPr>
            </w:pPr>
          </w:p>
        </w:tc>
        <w:tc>
          <w:tcPr>
            <w:tcW w:w="885" w:type="dxa"/>
          </w:tcPr>
          <w:p w14:paraId="071D7595">
            <w:pPr>
              <w:rPr>
                <w:rFonts w:hint="default" w:ascii="Times New Roman" w:hAnsi="Times New Roman" w:cs="Times New Roman"/>
                <w:sz w:val="18"/>
                <w:szCs w:val="18"/>
                <w:vertAlign w:val="baseline"/>
                <w:lang w:val="en-US" w:eastAsia="zh-CN"/>
              </w:rPr>
            </w:pPr>
          </w:p>
        </w:tc>
      </w:tr>
      <w:tr w14:paraId="2746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28D19D4B">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11</w:t>
            </w:r>
          </w:p>
        </w:tc>
        <w:tc>
          <w:tcPr>
            <w:tcW w:w="1185" w:type="dxa"/>
          </w:tcPr>
          <w:p w14:paraId="30D03857">
            <w:pPr>
              <w:rPr>
                <w:rFonts w:hint="default" w:ascii="Times New Roman" w:hAnsi="Times New Roman" w:cs="Times New Roman"/>
                <w:sz w:val="18"/>
                <w:szCs w:val="18"/>
                <w:vertAlign w:val="baseline"/>
                <w:lang w:val="en-US" w:eastAsia="zh-CN"/>
              </w:rPr>
            </w:pPr>
          </w:p>
        </w:tc>
        <w:tc>
          <w:tcPr>
            <w:tcW w:w="1410" w:type="dxa"/>
          </w:tcPr>
          <w:p w14:paraId="4CAC1B7F">
            <w:pPr>
              <w:rPr>
                <w:rFonts w:hint="default" w:ascii="Times New Roman" w:hAnsi="Times New Roman" w:cs="Times New Roman"/>
                <w:sz w:val="18"/>
                <w:szCs w:val="18"/>
                <w:vertAlign w:val="baseline"/>
                <w:lang w:val="en-US" w:eastAsia="zh-CN"/>
              </w:rPr>
            </w:pPr>
          </w:p>
        </w:tc>
        <w:tc>
          <w:tcPr>
            <w:tcW w:w="975" w:type="dxa"/>
          </w:tcPr>
          <w:p w14:paraId="6690AEA4">
            <w:pPr>
              <w:rPr>
                <w:rFonts w:hint="default" w:ascii="Times New Roman" w:hAnsi="Times New Roman" w:cs="Times New Roman"/>
                <w:sz w:val="18"/>
                <w:szCs w:val="18"/>
                <w:vertAlign w:val="baseline"/>
                <w:lang w:val="en-US" w:eastAsia="zh-CN"/>
              </w:rPr>
            </w:pPr>
          </w:p>
        </w:tc>
        <w:tc>
          <w:tcPr>
            <w:tcW w:w="600" w:type="dxa"/>
          </w:tcPr>
          <w:p w14:paraId="303E439D">
            <w:pPr>
              <w:rPr>
                <w:rFonts w:hint="default" w:ascii="Times New Roman" w:hAnsi="Times New Roman" w:cs="Times New Roman"/>
                <w:sz w:val="18"/>
                <w:szCs w:val="18"/>
                <w:vertAlign w:val="baseline"/>
                <w:lang w:val="en-US" w:eastAsia="zh-CN"/>
              </w:rPr>
            </w:pPr>
          </w:p>
        </w:tc>
        <w:tc>
          <w:tcPr>
            <w:tcW w:w="1380" w:type="dxa"/>
          </w:tcPr>
          <w:p w14:paraId="6C89D5BC">
            <w:pPr>
              <w:rPr>
                <w:rFonts w:hint="default" w:ascii="Times New Roman" w:hAnsi="Times New Roman" w:cs="Times New Roman"/>
                <w:sz w:val="18"/>
                <w:szCs w:val="18"/>
                <w:vertAlign w:val="baseline"/>
                <w:lang w:val="en-US" w:eastAsia="zh-CN"/>
              </w:rPr>
            </w:pPr>
          </w:p>
        </w:tc>
        <w:tc>
          <w:tcPr>
            <w:tcW w:w="885" w:type="dxa"/>
            <w:vMerge w:val="continue"/>
          </w:tcPr>
          <w:p w14:paraId="2518CE97">
            <w:pPr>
              <w:rPr>
                <w:rFonts w:hint="default" w:ascii="Times New Roman" w:hAnsi="Times New Roman" w:cs="Times New Roman"/>
                <w:sz w:val="18"/>
                <w:szCs w:val="18"/>
                <w:vertAlign w:val="baseline"/>
                <w:lang w:val="en-US" w:eastAsia="zh-CN"/>
              </w:rPr>
            </w:pPr>
          </w:p>
        </w:tc>
        <w:tc>
          <w:tcPr>
            <w:tcW w:w="1110" w:type="dxa"/>
          </w:tcPr>
          <w:p w14:paraId="52221126">
            <w:pPr>
              <w:rPr>
                <w:rFonts w:hint="default" w:ascii="Times New Roman" w:hAnsi="Times New Roman" w:cs="Times New Roman"/>
                <w:sz w:val="18"/>
                <w:szCs w:val="18"/>
                <w:vertAlign w:val="baseline"/>
                <w:lang w:val="en-US" w:eastAsia="zh-CN"/>
              </w:rPr>
            </w:pPr>
          </w:p>
        </w:tc>
        <w:tc>
          <w:tcPr>
            <w:tcW w:w="720" w:type="dxa"/>
          </w:tcPr>
          <w:p w14:paraId="7D3A4577">
            <w:pPr>
              <w:rPr>
                <w:rFonts w:hint="default" w:ascii="Times New Roman" w:hAnsi="Times New Roman" w:cs="Times New Roman"/>
                <w:sz w:val="18"/>
                <w:szCs w:val="18"/>
                <w:vertAlign w:val="baseline"/>
                <w:lang w:val="en-US" w:eastAsia="zh-CN"/>
              </w:rPr>
            </w:pPr>
          </w:p>
        </w:tc>
        <w:tc>
          <w:tcPr>
            <w:tcW w:w="885" w:type="dxa"/>
          </w:tcPr>
          <w:p w14:paraId="65C73431">
            <w:pPr>
              <w:rPr>
                <w:rFonts w:hint="default" w:ascii="Times New Roman" w:hAnsi="Times New Roman" w:cs="Times New Roman"/>
                <w:sz w:val="18"/>
                <w:szCs w:val="18"/>
                <w:vertAlign w:val="baseline"/>
                <w:lang w:val="en-US" w:eastAsia="zh-CN"/>
              </w:rPr>
            </w:pPr>
          </w:p>
        </w:tc>
      </w:tr>
      <w:tr w14:paraId="5372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2C672639">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12</w:t>
            </w:r>
          </w:p>
        </w:tc>
        <w:tc>
          <w:tcPr>
            <w:tcW w:w="1185" w:type="dxa"/>
          </w:tcPr>
          <w:p w14:paraId="7D25B0EB">
            <w:pPr>
              <w:rPr>
                <w:rFonts w:hint="default" w:ascii="Times New Roman" w:hAnsi="Times New Roman" w:cs="Times New Roman"/>
                <w:sz w:val="18"/>
                <w:szCs w:val="18"/>
                <w:vertAlign w:val="baseline"/>
                <w:lang w:val="en-US" w:eastAsia="zh-CN"/>
              </w:rPr>
            </w:pPr>
          </w:p>
        </w:tc>
        <w:tc>
          <w:tcPr>
            <w:tcW w:w="1410" w:type="dxa"/>
          </w:tcPr>
          <w:p w14:paraId="6DD945ED">
            <w:pPr>
              <w:rPr>
                <w:rFonts w:hint="default" w:ascii="Times New Roman" w:hAnsi="Times New Roman" w:cs="Times New Roman"/>
                <w:sz w:val="18"/>
                <w:szCs w:val="18"/>
                <w:vertAlign w:val="baseline"/>
                <w:lang w:val="en-US" w:eastAsia="zh-CN"/>
              </w:rPr>
            </w:pPr>
          </w:p>
        </w:tc>
        <w:tc>
          <w:tcPr>
            <w:tcW w:w="975" w:type="dxa"/>
          </w:tcPr>
          <w:p w14:paraId="12B83782">
            <w:pPr>
              <w:rPr>
                <w:rFonts w:hint="default" w:ascii="Times New Roman" w:hAnsi="Times New Roman" w:cs="Times New Roman"/>
                <w:sz w:val="18"/>
                <w:szCs w:val="18"/>
                <w:vertAlign w:val="baseline"/>
                <w:lang w:val="en-US" w:eastAsia="zh-CN"/>
              </w:rPr>
            </w:pPr>
          </w:p>
        </w:tc>
        <w:tc>
          <w:tcPr>
            <w:tcW w:w="600" w:type="dxa"/>
          </w:tcPr>
          <w:p w14:paraId="37D9AD36">
            <w:pPr>
              <w:rPr>
                <w:rFonts w:hint="default" w:ascii="Times New Roman" w:hAnsi="Times New Roman" w:cs="Times New Roman"/>
                <w:sz w:val="18"/>
                <w:szCs w:val="18"/>
                <w:vertAlign w:val="baseline"/>
                <w:lang w:val="en-US" w:eastAsia="zh-CN"/>
              </w:rPr>
            </w:pPr>
          </w:p>
        </w:tc>
        <w:tc>
          <w:tcPr>
            <w:tcW w:w="1380" w:type="dxa"/>
          </w:tcPr>
          <w:p w14:paraId="49A3A19D">
            <w:pPr>
              <w:rPr>
                <w:rFonts w:hint="default" w:ascii="Times New Roman" w:hAnsi="Times New Roman" w:cs="Times New Roman"/>
                <w:sz w:val="18"/>
                <w:szCs w:val="18"/>
                <w:vertAlign w:val="baseline"/>
                <w:lang w:val="en-US" w:eastAsia="zh-CN"/>
              </w:rPr>
            </w:pPr>
          </w:p>
        </w:tc>
        <w:tc>
          <w:tcPr>
            <w:tcW w:w="885" w:type="dxa"/>
            <w:vMerge w:val="continue"/>
          </w:tcPr>
          <w:p w14:paraId="2F207027">
            <w:pPr>
              <w:rPr>
                <w:rFonts w:hint="default" w:ascii="Times New Roman" w:hAnsi="Times New Roman" w:cs="Times New Roman"/>
                <w:sz w:val="18"/>
                <w:szCs w:val="18"/>
                <w:vertAlign w:val="baseline"/>
                <w:lang w:val="en-US" w:eastAsia="zh-CN"/>
              </w:rPr>
            </w:pPr>
          </w:p>
        </w:tc>
        <w:tc>
          <w:tcPr>
            <w:tcW w:w="1110" w:type="dxa"/>
          </w:tcPr>
          <w:p w14:paraId="624DC9F0">
            <w:pPr>
              <w:rPr>
                <w:rFonts w:hint="default" w:ascii="Times New Roman" w:hAnsi="Times New Roman" w:cs="Times New Roman"/>
                <w:sz w:val="18"/>
                <w:szCs w:val="18"/>
                <w:vertAlign w:val="baseline"/>
                <w:lang w:val="en-US" w:eastAsia="zh-CN"/>
              </w:rPr>
            </w:pPr>
          </w:p>
        </w:tc>
        <w:tc>
          <w:tcPr>
            <w:tcW w:w="720" w:type="dxa"/>
          </w:tcPr>
          <w:p w14:paraId="19767B54">
            <w:pPr>
              <w:rPr>
                <w:rFonts w:hint="default" w:ascii="Times New Roman" w:hAnsi="Times New Roman" w:cs="Times New Roman"/>
                <w:sz w:val="18"/>
                <w:szCs w:val="18"/>
                <w:vertAlign w:val="baseline"/>
                <w:lang w:val="en-US" w:eastAsia="zh-CN"/>
              </w:rPr>
            </w:pPr>
          </w:p>
        </w:tc>
        <w:tc>
          <w:tcPr>
            <w:tcW w:w="885" w:type="dxa"/>
          </w:tcPr>
          <w:p w14:paraId="0AE71B24">
            <w:pPr>
              <w:rPr>
                <w:rFonts w:hint="default" w:ascii="Times New Roman" w:hAnsi="Times New Roman" w:cs="Times New Roman"/>
                <w:sz w:val="18"/>
                <w:szCs w:val="18"/>
                <w:vertAlign w:val="baseline"/>
                <w:lang w:val="en-US" w:eastAsia="zh-CN"/>
              </w:rPr>
            </w:pPr>
          </w:p>
        </w:tc>
      </w:tr>
      <w:tr w14:paraId="2E92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72A47BC0">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13</w:t>
            </w:r>
          </w:p>
        </w:tc>
        <w:tc>
          <w:tcPr>
            <w:tcW w:w="1185" w:type="dxa"/>
          </w:tcPr>
          <w:p w14:paraId="3D9E52B0">
            <w:pPr>
              <w:rPr>
                <w:rFonts w:hint="default" w:ascii="Times New Roman" w:hAnsi="Times New Roman" w:cs="Times New Roman"/>
                <w:sz w:val="18"/>
                <w:szCs w:val="18"/>
                <w:vertAlign w:val="baseline"/>
                <w:lang w:val="en-US" w:eastAsia="zh-CN"/>
              </w:rPr>
            </w:pPr>
          </w:p>
        </w:tc>
        <w:tc>
          <w:tcPr>
            <w:tcW w:w="1410" w:type="dxa"/>
          </w:tcPr>
          <w:p w14:paraId="29484EE6">
            <w:pPr>
              <w:rPr>
                <w:rFonts w:hint="default" w:ascii="Times New Roman" w:hAnsi="Times New Roman" w:cs="Times New Roman"/>
                <w:sz w:val="18"/>
                <w:szCs w:val="18"/>
                <w:vertAlign w:val="baseline"/>
                <w:lang w:val="en-US" w:eastAsia="zh-CN"/>
              </w:rPr>
            </w:pPr>
          </w:p>
        </w:tc>
        <w:tc>
          <w:tcPr>
            <w:tcW w:w="975" w:type="dxa"/>
          </w:tcPr>
          <w:p w14:paraId="6734BDFF">
            <w:pPr>
              <w:rPr>
                <w:rFonts w:hint="default" w:ascii="Times New Roman" w:hAnsi="Times New Roman" w:cs="Times New Roman"/>
                <w:sz w:val="18"/>
                <w:szCs w:val="18"/>
                <w:vertAlign w:val="baseline"/>
                <w:lang w:val="en-US" w:eastAsia="zh-CN"/>
              </w:rPr>
            </w:pPr>
          </w:p>
        </w:tc>
        <w:tc>
          <w:tcPr>
            <w:tcW w:w="600" w:type="dxa"/>
          </w:tcPr>
          <w:p w14:paraId="685455C4">
            <w:pPr>
              <w:rPr>
                <w:rFonts w:hint="default" w:ascii="Times New Roman" w:hAnsi="Times New Roman" w:cs="Times New Roman"/>
                <w:sz w:val="18"/>
                <w:szCs w:val="18"/>
                <w:vertAlign w:val="baseline"/>
                <w:lang w:val="en-US" w:eastAsia="zh-CN"/>
              </w:rPr>
            </w:pPr>
          </w:p>
        </w:tc>
        <w:tc>
          <w:tcPr>
            <w:tcW w:w="1380" w:type="dxa"/>
          </w:tcPr>
          <w:p w14:paraId="39F2244E">
            <w:pPr>
              <w:rPr>
                <w:rFonts w:hint="default" w:ascii="Times New Roman" w:hAnsi="Times New Roman" w:cs="Times New Roman"/>
                <w:sz w:val="18"/>
                <w:szCs w:val="18"/>
                <w:vertAlign w:val="baseline"/>
                <w:lang w:val="en-US" w:eastAsia="zh-CN"/>
              </w:rPr>
            </w:pPr>
          </w:p>
        </w:tc>
        <w:tc>
          <w:tcPr>
            <w:tcW w:w="885" w:type="dxa"/>
            <w:vMerge w:val="continue"/>
          </w:tcPr>
          <w:p w14:paraId="1A816B6A">
            <w:pPr>
              <w:rPr>
                <w:rFonts w:hint="default" w:ascii="Times New Roman" w:hAnsi="Times New Roman" w:cs="Times New Roman"/>
                <w:sz w:val="18"/>
                <w:szCs w:val="18"/>
                <w:vertAlign w:val="baseline"/>
                <w:lang w:val="en-US" w:eastAsia="zh-CN"/>
              </w:rPr>
            </w:pPr>
          </w:p>
        </w:tc>
        <w:tc>
          <w:tcPr>
            <w:tcW w:w="1110" w:type="dxa"/>
          </w:tcPr>
          <w:p w14:paraId="2FF9E6B7">
            <w:pPr>
              <w:rPr>
                <w:rFonts w:hint="default" w:ascii="Times New Roman" w:hAnsi="Times New Roman" w:cs="Times New Roman"/>
                <w:sz w:val="18"/>
                <w:szCs w:val="18"/>
                <w:vertAlign w:val="baseline"/>
                <w:lang w:val="en-US" w:eastAsia="zh-CN"/>
              </w:rPr>
            </w:pPr>
          </w:p>
        </w:tc>
        <w:tc>
          <w:tcPr>
            <w:tcW w:w="720" w:type="dxa"/>
          </w:tcPr>
          <w:p w14:paraId="6110A972">
            <w:pPr>
              <w:rPr>
                <w:rFonts w:hint="default" w:ascii="Times New Roman" w:hAnsi="Times New Roman" w:cs="Times New Roman"/>
                <w:sz w:val="18"/>
                <w:szCs w:val="18"/>
                <w:vertAlign w:val="baseline"/>
                <w:lang w:val="en-US" w:eastAsia="zh-CN"/>
              </w:rPr>
            </w:pPr>
          </w:p>
        </w:tc>
        <w:tc>
          <w:tcPr>
            <w:tcW w:w="885" w:type="dxa"/>
          </w:tcPr>
          <w:p w14:paraId="4BC07270">
            <w:pPr>
              <w:rPr>
                <w:rFonts w:hint="default" w:ascii="Times New Roman" w:hAnsi="Times New Roman" w:cs="Times New Roman"/>
                <w:sz w:val="18"/>
                <w:szCs w:val="18"/>
                <w:vertAlign w:val="baseline"/>
                <w:lang w:val="en-US" w:eastAsia="zh-CN"/>
              </w:rPr>
            </w:pPr>
          </w:p>
        </w:tc>
      </w:tr>
    </w:tbl>
    <w:p w14:paraId="3E070B91">
      <w:pP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备注：1. 关于表格格式，供应商可根据实际情况，自行选择横向或竖向展示。</w:t>
      </w:r>
    </w:p>
    <w:p w14:paraId="7F96A0FE">
      <w:pPr>
        <w:numPr>
          <w:ilvl w:val="0"/>
          <w:numId w:val="5"/>
        </w:numPr>
        <w:ind w:firstLine="632" w:firstLineChars="300"/>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 供应商可依据供货清单内容，灵活添加行数以完善信息。</w:t>
      </w:r>
    </w:p>
    <w:p w14:paraId="56B92033">
      <w:pPr>
        <w:numPr>
          <w:ilvl w:val="0"/>
          <w:numId w:val="5"/>
        </w:numPr>
        <w:ind w:firstLine="632" w:firstLineChars="300"/>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该表预算单位与供货单位与第五章采购需求</w:t>
      </w:r>
      <w:r>
        <w:rPr>
          <w:rFonts w:hint="default" w:ascii="Times New Roman" w:hAnsi="Times New Roman" w:cs="Times New Roman"/>
          <w:b/>
          <w:bCs/>
          <w:sz w:val="21"/>
          <w:szCs w:val="21"/>
          <w:vertAlign w:val="baseline"/>
          <w:lang w:val="en-US" w:eastAsia="zh-CN"/>
        </w:rPr>
        <w:t>附件1：</w:t>
      </w:r>
      <w:r>
        <w:rPr>
          <w:rFonts w:hint="eastAsia" w:ascii="Times New Roman" w:hAnsi="Times New Roman" w:cs="Times New Roman"/>
          <w:b/>
          <w:bCs/>
          <w:sz w:val="21"/>
          <w:szCs w:val="21"/>
          <w:vertAlign w:val="baseline"/>
          <w:lang w:val="en-US" w:eastAsia="zh-CN"/>
        </w:rPr>
        <w:t>大理州第二人民医院2025年药物基因检测试剂耗材采购项目（二次）</w:t>
      </w:r>
      <w:r>
        <w:rPr>
          <w:rFonts w:hint="default" w:ascii="Times New Roman" w:hAnsi="Times New Roman" w:cs="Times New Roman"/>
          <w:b/>
          <w:bCs/>
          <w:sz w:val="21"/>
          <w:szCs w:val="21"/>
          <w:vertAlign w:val="baseline"/>
          <w:lang w:val="en-US" w:eastAsia="zh-CN"/>
        </w:rPr>
        <w:t>采购清单</w:t>
      </w:r>
      <w:r>
        <w:rPr>
          <w:rFonts w:hint="eastAsia" w:ascii="Times New Roman" w:hAnsi="Times New Roman" w:cs="Times New Roman"/>
          <w:b/>
          <w:bCs/>
          <w:sz w:val="21"/>
          <w:szCs w:val="21"/>
          <w:vertAlign w:val="baseline"/>
          <w:lang w:val="en-US" w:eastAsia="zh-CN"/>
        </w:rPr>
        <w:t>保持一致。如测序反应通用试剂盒预算单位为反应,供货单位为盒，依次类推。</w:t>
      </w:r>
      <w:bookmarkStart w:id="182" w:name="_GoBack"/>
      <w:bookmarkEnd w:id="182"/>
    </w:p>
    <w:bookmarkEnd w:id="139"/>
    <w:p w14:paraId="1F49EBFF">
      <w:pPr>
        <w:rPr>
          <w:rFonts w:hint="default" w:ascii="Times New Roman" w:hAnsi="Times New Roman" w:cs="Times New Roman"/>
          <w:lang w:val="en-US" w:eastAsia="zh-CN"/>
        </w:rPr>
      </w:pPr>
    </w:p>
    <w:p w14:paraId="0FBF2687">
      <w:pPr>
        <w:rPr>
          <w:rFonts w:hint="default" w:ascii="Times New Roman" w:hAnsi="Times New Roman" w:cs="Times New Roman"/>
          <w:lang w:val="en-US" w:eastAsia="zh-CN"/>
        </w:rPr>
      </w:pPr>
    </w:p>
    <w:p w14:paraId="6870BF0C">
      <w:pPr>
        <w:rPr>
          <w:rFonts w:hint="default" w:ascii="Times New Roman" w:hAnsi="Times New Roman" w:cs="Times New Roman"/>
          <w:lang w:val="en-US" w:eastAsia="zh-CN"/>
        </w:rPr>
      </w:pPr>
    </w:p>
    <w:p w14:paraId="765BDA79">
      <w:pPr>
        <w:rPr>
          <w:rFonts w:hint="default" w:ascii="Times New Roman" w:hAnsi="Times New Roman" w:cs="Times New Roman"/>
          <w:lang w:val="en-US" w:eastAsia="zh-CN"/>
        </w:rPr>
      </w:pPr>
    </w:p>
    <w:p w14:paraId="7193A7EF">
      <w:pPr>
        <w:rPr>
          <w:rFonts w:hint="default" w:ascii="Times New Roman" w:hAnsi="Times New Roman" w:cs="Times New Roman"/>
          <w:lang w:val="en-US" w:eastAsia="zh-CN"/>
        </w:rPr>
      </w:pPr>
    </w:p>
    <w:p w14:paraId="132F5341">
      <w:pPr>
        <w:rPr>
          <w:rFonts w:hint="default" w:ascii="Times New Roman" w:hAnsi="Times New Roman" w:cs="Times New Roman"/>
          <w:lang w:val="en-US" w:eastAsia="zh-CN"/>
        </w:rPr>
      </w:pPr>
    </w:p>
    <w:p w14:paraId="58E820B5">
      <w:pPr>
        <w:rPr>
          <w:rFonts w:hint="default" w:ascii="Times New Roman" w:hAnsi="Times New Roman" w:cs="Times New Roman"/>
          <w:lang w:val="en-US" w:eastAsia="zh-CN"/>
        </w:rPr>
      </w:pPr>
    </w:p>
    <w:p w14:paraId="163BE18F">
      <w:pPr>
        <w:rPr>
          <w:rFonts w:hint="default" w:ascii="Times New Roman" w:hAnsi="Times New Roman" w:cs="Times New Roman"/>
          <w:lang w:val="en-US" w:eastAsia="zh-CN"/>
        </w:rPr>
      </w:pPr>
    </w:p>
    <w:p w14:paraId="6A1D569B">
      <w:pPr>
        <w:rPr>
          <w:rFonts w:hint="default" w:ascii="Times New Roman" w:hAnsi="Times New Roman" w:cs="Times New Roman"/>
          <w:lang w:val="en-US" w:eastAsia="zh-CN"/>
        </w:rPr>
      </w:pPr>
    </w:p>
    <w:p w14:paraId="088D90A8">
      <w:pPr>
        <w:rPr>
          <w:rFonts w:hint="default" w:ascii="Times New Roman" w:hAnsi="Times New Roman" w:cs="Times New Roman"/>
          <w:lang w:val="en-US" w:eastAsia="zh-CN"/>
        </w:rPr>
      </w:pPr>
    </w:p>
    <w:p w14:paraId="24762DA6">
      <w:pPr>
        <w:pStyle w:val="4"/>
        <w:bidi w:val="0"/>
        <w:rPr>
          <w:rFonts w:hint="default" w:ascii="Times New Roman" w:hAnsi="Times New Roman" w:cs="Times New Roman"/>
          <w:lang w:val="en-US" w:eastAsia="zh-CN"/>
        </w:rPr>
      </w:pPr>
      <w:bookmarkStart w:id="140" w:name="_Toc21256"/>
      <w:r>
        <w:rPr>
          <w:rFonts w:hint="default" w:ascii="Times New Roman" w:hAnsi="Times New Roman" w:cs="Times New Roman"/>
        </w:rPr>
        <w:t>格式1</w:t>
      </w:r>
      <w:r>
        <w:rPr>
          <w:rFonts w:hint="eastAsia"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投标人资格审查材料</w:t>
      </w:r>
      <w:bookmarkEnd w:id="140"/>
    </w:p>
    <w:p w14:paraId="0147F3FA">
      <w:pPr>
        <w:bidi w:val="0"/>
        <w:rPr>
          <w:rFonts w:hint="default" w:ascii="Times New Roman" w:hAnsi="Times New Roman" w:cs="Times New Roman"/>
          <w:lang w:val="en-US" w:eastAsia="zh-CN"/>
        </w:rPr>
      </w:pPr>
      <w:r>
        <w:rPr>
          <w:rFonts w:hint="default" w:ascii="Times New Roman" w:hAnsi="Times New Roman" w:cs="Times New Roman"/>
          <w:lang w:val="en-US" w:eastAsia="zh-CN"/>
        </w:rPr>
        <w:t>投标人应按照询价采购文件第一章“</w:t>
      </w:r>
      <w:r>
        <w:rPr>
          <w:rFonts w:hint="default" w:ascii="Times New Roman" w:hAnsi="Times New Roman" w:cs="Times New Roman"/>
          <w:b/>
          <w:bCs/>
          <w:lang w:val="en-US" w:eastAsia="zh-CN"/>
        </w:rPr>
        <w:t>二、申请人的资格要求</w:t>
      </w:r>
      <w:r>
        <w:rPr>
          <w:rFonts w:hint="default" w:ascii="Times New Roman" w:hAnsi="Times New Roman" w:cs="Times New Roman"/>
          <w:lang w:val="en-US" w:eastAsia="zh-CN"/>
        </w:rPr>
        <w:t>”提供完整材料。</w:t>
      </w:r>
    </w:p>
    <w:p w14:paraId="38B8A32A">
      <w:pPr>
        <w:bidi w:val="0"/>
        <w:rPr>
          <w:rFonts w:hint="default" w:ascii="Times New Roman" w:hAnsi="Times New Roman" w:eastAsia="方正仿宋_GBK" w:cs="Times New Roman"/>
          <w:b w:val="0"/>
          <w:bCs w:val="0"/>
          <w:color w:val="FF0000"/>
          <w:szCs w:val="32"/>
          <w:lang w:val="en-US" w:eastAsia="zh-CN"/>
        </w:rPr>
      </w:pPr>
      <w:r>
        <w:rPr>
          <w:rFonts w:hint="default" w:ascii="Times New Roman" w:hAnsi="Times New Roman" w:cs="Times New Roman"/>
          <w:lang w:val="en-US" w:eastAsia="zh-CN"/>
        </w:rPr>
        <w:t>（</w:t>
      </w:r>
      <w:r>
        <w:rPr>
          <w:rFonts w:hint="default" w:ascii="Times New Roman" w:hAnsi="Times New Roman" w:cs="Times New Roman"/>
          <w:color w:val="FF0000"/>
          <w:lang w:val="en-US" w:eastAsia="zh-CN"/>
        </w:rPr>
        <w:t>注：投标人材料提供不齐全或提供材料不符合要求的视为废标处理</w:t>
      </w:r>
      <w:r>
        <w:rPr>
          <w:rFonts w:hint="default" w:ascii="Times New Roman" w:hAnsi="Times New Roman" w:cs="Times New Roman"/>
          <w:lang w:val="en-US" w:eastAsia="zh-CN"/>
        </w:rPr>
        <w:t>）</w:t>
      </w:r>
    </w:p>
    <w:p w14:paraId="2FA96356">
      <w:pPr>
        <w:bidi w:val="0"/>
        <w:rPr>
          <w:rFonts w:hint="default" w:ascii="Times New Roman" w:hAnsi="Times New Roman" w:cs="Times New Roman"/>
          <w:b/>
          <w:bCs/>
          <w:lang w:val="en-US"/>
        </w:rPr>
      </w:pPr>
      <w:bookmarkStart w:id="141" w:name="_Toc30744_WPSOffice_Level2"/>
      <w:bookmarkStart w:id="142" w:name="_Toc7361_WPSOffice_Level2"/>
      <w:bookmarkStart w:id="143" w:name="_Toc14728_WPSOffice_Level2"/>
      <w:r>
        <w:rPr>
          <w:rFonts w:hint="default" w:ascii="Times New Roman" w:hAnsi="Times New Roman" w:cs="Times New Roman"/>
          <w:b/>
          <w:bCs/>
        </w:rPr>
        <w:t>格式1</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-1</w:t>
      </w:r>
      <w:r>
        <w:rPr>
          <w:rFonts w:hint="default" w:ascii="Times New Roman" w:hAnsi="Times New Roman" w:cs="Times New Roman"/>
          <w:b/>
          <w:bCs/>
        </w:rPr>
        <w:t>：</w:t>
      </w:r>
      <w:r>
        <w:rPr>
          <w:rFonts w:hint="default" w:ascii="Times New Roman" w:hAnsi="Times New Roman" w:cs="Times New Roman"/>
          <w:b/>
          <w:bCs/>
          <w:lang w:val="en-US" w:eastAsia="zh-CN"/>
        </w:rPr>
        <w:t>营业执照（三证合一）</w:t>
      </w:r>
      <w:bookmarkEnd w:id="141"/>
      <w:bookmarkEnd w:id="142"/>
      <w:bookmarkEnd w:id="143"/>
    </w:p>
    <w:p w14:paraId="050BC5F4">
      <w:pPr>
        <w:bidi w:val="0"/>
        <w:rPr>
          <w:rFonts w:hint="default" w:ascii="Times New Roman" w:hAnsi="Times New Roman" w:cs="Times New Roman"/>
          <w:lang w:val="en-US" w:eastAsia="zh-CN"/>
        </w:rPr>
      </w:pPr>
      <w:bookmarkStart w:id="144" w:name="_Toc27975_WPSOffice_Level2"/>
      <w:bookmarkStart w:id="145" w:name="_Toc17950_WPSOffice_Level2"/>
      <w:bookmarkStart w:id="146" w:name="_Toc31054_WPSOffice_Level2"/>
      <w:r>
        <w:rPr>
          <w:rFonts w:hint="default" w:ascii="Times New Roman" w:hAnsi="Times New Roman" w:cs="Times New Roman"/>
          <w:lang w:val="en-US" w:eastAsia="zh-CN"/>
        </w:rPr>
        <w:t>1.营业执照（扫描件加盖公章）</w:t>
      </w:r>
      <w:bookmarkEnd w:id="144"/>
      <w:bookmarkEnd w:id="145"/>
      <w:bookmarkEnd w:id="146"/>
    </w:p>
    <w:p w14:paraId="1C70C473">
      <w:pPr>
        <w:bidi w:val="0"/>
        <w:rPr>
          <w:rFonts w:hint="default" w:ascii="Times New Roman" w:hAnsi="Times New Roman" w:cs="Times New Roman"/>
          <w:lang w:val="en-US" w:eastAsia="zh-CN"/>
        </w:rPr>
      </w:pPr>
      <w:bookmarkStart w:id="147" w:name="_Toc16490_WPSOffice_Level2"/>
      <w:bookmarkStart w:id="148" w:name="_Toc18063_WPSOffice_Level2"/>
      <w:bookmarkStart w:id="149" w:name="_Toc21061_WPSOffice_Level2"/>
      <w:r>
        <w:rPr>
          <w:rFonts w:hint="default" w:ascii="Times New Roman" w:hAnsi="Times New Roman" w:cs="Times New Roman"/>
          <w:lang w:val="en-US" w:eastAsia="zh-CN"/>
        </w:rPr>
        <w:t>2.组织机构代码证（扫描件加盖公章）</w:t>
      </w:r>
      <w:bookmarkEnd w:id="147"/>
      <w:bookmarkEnd w:id="148"/>
      <w:bookmarkEnd w:id="149"/>
    </w:p>
    <w:p w14:paraId="6F93FFE6">
      <w:pPr>
        <w:bidi w:val="0"/>
        <w:rPr>
          <w:rFonts w:hint="default" w:ascii="Times New Roman" w:hAnsi="Times New Roman" w:cs="Times New Roman"/>
          <w:lang w:val="en-US" w:eastAsia="zh-CN"/>
        </w:rPr>
      </w:pPr>
      <w:bookmarkStart w:id="150" w:name="_Toc10763_WPSOffice_Level2"/>
      <w:bookmarkStart w:id="151" w:name="_Toc13714_WPSOffice_Level2"/>
      <w:bookmarkStart w:id="152" w:name="_Toc13583_WPSOffice_Level2"/>
      <w:r>
        <w:rPr>
          <w:rFonts w:hint="default" w:ascii="Times New Roman" w:hAnsi="Times New Roman" w:cs="Times New Roman"/>
          <w:lang w:val="en-US" w:eastAsia="zh-CN"/>
        </w:rPr>
        <w:t>3.税务登记证（扫描件加盖公章）</w:t>
      </w:r>
      <w:bookmarkEnd w:id="150"/>
      <w:bookmarkEnd w:id="151"/>
      <w:bookmarkEnd w:id="152"/>
    </w:p>
    <w:p w14:paraId="26F8CE4F">
      <w:pPr>
        <w:bidi w:val="0"/>
        <w:rPr>
          <w:rFonts w:hint="default" w:ascii="Times New Roman" w:hAnsi="Times New Roman" w:cs="Times New Roman"/>
          <w:lang w:val="en-US" w:eastAsia="zh-CN"/>
        </w:rPr>
      </w:pPr>
      <w:r>
        <w:rPr>
          <w:rFonts w:hint="default" w:ascii="Times New Roman" w:hAnsi="Times New Roman" w:cs="Times New Roman"/>
          <w:lang w:val="en-US" w:eastAsia="zh-CN"/>
        </w:rPr>
        <w:t>注 ：三证合一只需提供营业执照。</w:t>
      </w:r>
    </w:p>
    <w:p w14:paraId="6AF5B4E8">
      <w:pPr>
        <w:bidi w:val="0"/>
        <w:rPr>
          <w:rFonts w:hint="default" w:ascii="Times New Roman" w:hAnsi="Times New Roman" w:cs="Times New Roman"/>
          <w:b/>
          <w:bCs/>
          <w:lang w:val="en-US" w:eastAsia="zh-CN"/>
        </w:rPr>
      </w:pPr>
      <w:bookmarkStart w:id="153" w:name="_Toc18409_WPSOffice_Level2"/>
      <w:bookmarkStart w:id="154" w:name="_Toc6258_WPSOffice_Level2"/>
      <w:bookmarkStart w:id="155" w:name="_Toc14380_WPSOffice_Level2"/>
      <w:r>
        <w:rPr>
          <w:rFonts w:hint="default" w:ascii="Times New Roman" w:hAnsi="Times New Roman" w:cs="Times New Roman"/>
          <w:b/>
          <w:bCs/>
        </w:rPr>
        <w:t>格式1</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-2</w:t>
      </w:r>
      <w:r>
        <w:rPr>
          <w:rFonts w:hint="default" w:ascii="Times New Roman" w:hAnsi="Times New Roman" w:cs="Times New Roman"/>
          <w:b/>
          <w:bCs/>
        </w:rPr>
        <w:t>：</w:t>
      </w:r>
      <w:bookmarkEnd w:id="153"/>
      <w:r>
        <w:rPr>
          <w:rFonts w:hint="default" w:ascii="Times New Roman" w:hAnsi="Times New Roman" w:eastAsia="方正仿宋_GBK" w:cs="Times New Roman"/>
          <w:b/>
          <w:bCs/>
          <w:color w:val="auto"/>
          <w:kern w:val="2"/>
          <w:sz w:val="32"/>
          <w:szCs w:val="32"/>
          <w:u w:val="none" w:color="auto"/>
          <w:lang w:val="en-US" w:eastAsia="zh-CN" w:bidi="ar-SA"/>
        </w:rPr>
        <w:t>有依法缴纳税收的良好记录</w:t>
      </w:r>
      <w:bookmarkEnd w:id="154"/>
      <w:bookmarkEnd w:id="155"/>
    </w:p>
    <w:p w14:paraId="052F815F">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156" w:name="_Toc1969_WPSOffice_Level2"/>
      <w:r>
        <w:rPr>
          <w:rFonts w:hint="default" w:ascii="Times New Roman" w:hAnsi="Times New Roman" w:eastAsia="方正仿宋_GBK" w:cs="Times New Roman"/>
          <w:b w:val="0"/>
          <w:bCs w:val="0"/>
          <w:color w:val="auto"/>
          <w:kern w:val="2"/>
          <w:sz w:val="32"/>
          <w:szCs w:val="32"/>
          <w:u w:val="none" w:color="auto"/>
          <w:lang w:val="en-US" w:eastAsia="zh-CN" w:bidi="ar-SA"/>
        </w:rPr>
        <w:t>供应商具有依法缴纳税收的良好记录（须提供缴税所属时间在202</w:t>
      </w:r>
      <w:r>
        <w:rPr>
          <w:rFonts w:hint="eastAsia"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年0</w:t>
      </w:r>
      <w:r>
        <w:rPr>
          <w:rFonts w:hint="eastAsia"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月至本项目报价文件提交截止时间前任意1个月的税务局税收通用缴款书或银行电子缴税（费）凭证或税务局出具纳税情况的相关证明，依法免税的，应提供依法免税的相关证明文件，新成立的企业（未满3个月）无须提供证明材料）。</w:t>
      </w:r>
    </w:p>
    <w:p w14:paraId="42BDBCFF">
      <w:pPr>
        <w:pStyle w:val="2"/>
        <w:rPr>
          <w:rFonts w:hint="default" w:ascii="Times New Roman" w:hAnsi="Times New Roman" w:eastAsia="方正仿宋_GBK" w:cs="Times New Roman"/>
          <w:b/>
          <w:bCs/>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格式1</w:t>
      </w:r>
      <w:r>
        <w:rPr>
          <w:rFonts w:hint="eastAsia" w:ascii="Times New Roman" w:hAnsi="Times New Roman" w:cs="Times New Roman"/>
          <w:b/>
          <w:bCs/>
          <w:color w:val="auto"/>
          <w:kern w:val="2"/>
          <w:sz w:val="32"/>
          <w:szCs w:val="32"/>
          <w:u w:val="none" w:color="auto"/>
          <w:lang w:val="en-US" w:eastAsia="zh-CN" w:bidi="ar-SA"/>
        </w:rPr>
        <w:t>2</w:t>
      </w:r>
      <w:r>
        <w:rPr>
          <w:rFonts w:hint="default" w:ascii="Times New Roman" w:hAnsi="Times New Roman" w:eastAsia="方正仿宋_GBK" w:cs="Times New Roman"/>
          <w:b/>
          <w:bCs/>
          <w:color w:val="auto"/>
          <w:kern w:val="2"/>
          <w:sz w:val="32"/>
          <w:szCs w:val="32"/>
          <w:u w:val="none" w:color="auto"/>
          <w:lang w:val="en-US" w:eastAsia="zh-CN" w:bidi="ar-SA"/>
        </w:rPr>
        <w:t>-3：有依法缴纳社会保障资金的良好记录</w:t>
      </w:r>
    </w:p>
    <w:p w14:paraId="0DC8D051">
      <w:pPr>
        <w:pStyle w:val="2"/>
        <w:keepNext w:val="0"/>
        <w:keepLines w:val="0"/>
        <w:pageBreakBefore w:val="0"/>
        <w:kinsoku/>
        <w:wordWrap/>
        <w:overflowPunct/>
        <w:topLinePunct w:val="0"/>
        <w:autoSpaceDE/>
        <w:autoSpaceDN/>
        <w:bidi w:val="0"/>
        <w:spacing w:line="480" w:lineRule="exact"/>
        <w:ind w:left="0" w:right="0" w:firstLine="640" w:firstLineChars="2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供应商具有依法缴纳社会保障资金的良好记录（须提供缴费所属时间在202</w:t>
      </w:r>
      <w:r>
        <w:rPr>
          <w:rFonts w:hint="eastAsia"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年0</w:t>
      </w:r>
      <w:r>
        <w:rPr>
          <w:rFonts w:hint="eastAsia"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r>
        <w:rPr>
          <w:rFonts w:hint="default" w:ascii="Times New Roman" w:hAnsi="Times New Roman" w:cs="Times New Roman"/>
          <w:b w:val="0"/>
          <w:bCs w:val="0"/>
          <w:color w:val="auto"/>
          <w:kern w:val="2"/>
          <w:sz w:val="32"/>
          <w:szCs w:val="32"/>
          <w:u w:val="none" w:color="auto"/>
          <w:lang w:val="en-US" w:eastAsia="zh-CN" w:bidi="ar-SA"/>
        </w:rPr>
        <w:t>。</w:t>
      </w:r>
    </w:p>
    <w:p w14:paraId="74902F39">
      <w:pPr>
        <w:pStyle w:val="2"/>
        <w:rPr>
          <w:rFonts w:hint="default" w:ascii="Times New Roman" w:hAnsi="Times New Roman" w:eastAsia="方正仿宋_GBK" w:cs="Times New Roman"/>
          <w:b/>
          <w:bCs/>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格式1</w:t>
      </w:r>
      <w:r>
        <w:rPr>
          <w:rFonts w:hint="eastAsia" w:ascii="Times New Roman" w:hAnsi="Times New Roman" w:cs="Times New Roman"/>
          <w:b/>
          <w:bCs/>
          <w:color w:val="auto"/>
          <w:kern w:val="2"/>
          <w:sz w:val="32"/>
          <w:szCs w:val="32"/>
          <w:u w:val="none" w:color="auto"/>
          <w:lang w:val="en-US" w:eastAsia="zh-CN" w:bidi="ar-SA"/>
        </w:rPr>
        <w:t>2</w:t>
      </w:r>
      <w:r>
        <w:rPr>
          <w:rFonts w:hint="default" w:ascii="Times New Roman" w:hAnsi="Times New Roman" w:eastAsia="方正仿宋_GBK" w:cs="Times New Roman"/>
          <w:b/>
          <w:bCs/>
          <w:color w:val="auto"/>
          <w:kern w:val="2"/>
          <w:sz w:val="32"/>
          <w:szCs w:val="32"/>
          <w:u w:val="none" w:color="auto"/>
          <w:lang w:val="en-US" w:eastAsia="zh-CN" w:bidi="ar-SA"/>
        </w:rPr>
        <w:t>-</w:t>
      </w:r>
      <w:r>
        <w:rPr>
          <w:rFonts w:hint="default" w:ascii="Times New Roman" w:hAnsi="Times New Roman" w:cs="Times New Roman"/>
          <w:b/>
          <w:bCs/>
          <w:color w:val="auto"/>
          <w:kern w:val="2"/>
          <w:sz w:val="32"/>
          <w:szCs w:val="32"/>
          <w:u w:val="none" w:color="auto"/>
          <w:lang w:val="en-US" w:eastAsia="zh-CN" w:bidi="ar-SA"/>
        </w:rPr>
        <w:t>4</w:t>
      </w:r>
      <w:r>
        <w:rPr>
          <w:rFonts w:hint="default" w:ascii="Times New Roman" w:hAnsi="Times New Roman" w:eastAsia="方正仿宋_GBK" w:cs="Times New Roman"/>
          <w:b/>
          <w:bCs/>
          <w:color w:val="auto"/>
          <w:kern w:val="2"/>
          <w:sz w:val="32"/>
          <w:szCs w:val="32"/>
          <w:u w:val="none" w:color="auto"/>
          <w:lang w:val="en-US" w:eastAsia="zh-CN" w:bidi="ar-SA"/>
        </w:rPr>
        <w:t>：</w:t>
      </w:r>
      <w:r>
        <w:rPr>
          <w:rFonts w:hint="default" w:ascii="Times New Roman" w:hAnsi="Times New Roman" w:cs="Times New Roman"/>
          <w:b/>
          <w:bCs/>
          <w:color w:val="auto"/>
          <w:kern w:val="2"/>
          <w:sz w:val="32"/>
          <w:szCs w:val="32"/>
          <w:u w:val="none" w:color="auto"/>
          <w:lang w:val="en-US" w:eastAsia="zh-CN" w:bidi="ar-SA"/>
        </w:rPr>
        <w:t>特定资格要求</w:t>
      </w:r>
    </w:p>
    <w:p w14:paraId="3A6757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 xml:space="preserve">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注：提供的证件均在有效期范围内。 </w:t>
      </w:r>
    </w:p>
    <w:bookmarkEnd w:id="156"/>
    <w:p w14:paraId="447EAC7D">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bCs/>
          <w:color w:val="auto"/>
          <w:kern w:val="2"/>
          <w:sz w:val="32"/>
          <w:szCs w:val="32"/>
          <w:u w:val="none" w:color="auto"/>
          <w:lang w:val="en-US" w:eastAsia="zh-CN" w:bidi="ar-SA"/>
        </w:rPr>
      </w:pPr>
      <w:bookmarkStart w:id="157" w:name="_Toc9860_WPSOffice_Level2"/>
      <w:bookmarkStart w:id="158" w:name="_Toc4190_WPSOffice_Level2"/>
      <w:r>
        <w:rPr>
          <w:rFonts w:hint="default" w:ascii="Times New Roman" w:hAnsi="Times New Roman" w:eastAsia="方正仿宋_GBK" w:cs="Times New Roman"/>
          <w:b/>
          <w:bCs/>
          <w:color w:val="auto"/>
          <w:kern w:val="2"/>
          <w:sz w:val="32"/>
          <w:szCs w:val="24"/>
          <w:lang w:val="en-US" w:eastAsia="zh-CN" w:bidi="ar-SA"/>
        </w:rPr>
        <w:t>格式1</w:t>
      </w:r>
      <w:r>
        <w:rPr>
          <w:rFonts w:hint="eastAsia" w:ascii="Times New Roman" w:hAnsi="Times New Roman" w:cs="Times New Roman"/>
          <w:b/>
          <w:bCs/>
          <w:color w:val="auto"/>
          <w:kern w:val="2"/>
          <w:sz w:val="32"/>
          <w:szCs w:val="24"/>
          <w:lang w:val="en-US" w:eastAsia="zh-CN" w:bidi="ar-SA"/>
        </w:rPr>
        <w:t>2</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cs="Times New Roman"/>
          <w:b/>
          <w:bCs/>
          <w:color w:val="auto"/>
          <w:kern w:val="2"/>
          <w:sz w:val="32"/>
          <w:szCs w:val="24"/>
          <w:lang w:val="en-US" w:eastAsia="zh-CN" w:bidi="ar-SA"/>
        </w:rPr>
        <w:t>5</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eastAsia="方正仿宋_GBK" w:cs="Times New Roman"/>
          <w:b/>
          <w:bCs/>
          <w:color w:val="auto"/>
          <w:kern w:val="2"/>
          <w:sz w:val="32"/>
          <w:szCs w:val="32"/>
          <w:u w:val="none" w:color="auto"/>
          <w:lang w:val="en-US" w:eastAsia="zh-CN" w:bidi="ar-SA"/>
        </w:rPr>
        <w:t>信誉要求</w:t>
      </w:r>
      <w:bookmarkEnd w:id="157"/>
      <w:bookmarkEnd w:id="158"/>
    </w:p>
    <w:p w14:paraId="51EF68B2">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投标人未被列入“信用中国”网站（www.creditchina.gov.cn）“失信被执行人、政府采购严重违法失信行为记录名单、重大税收违法失信主体”及中国政府采购网（www.ccgp.gov.cn）“政府采购严重违法失信行为信息记录”。</w:t>
      </w:r>
    </w:p>
    <w:p w14:paraId="6E6E73D4">
      <w:pPr>
        <w:bidi w:val="0"/>
        <w:rPr>
          <w:rFonts w:hint="default" w:ascii="Times New Roman" w:hAnsi="Times New Roman" w:cs="Times New Roman"/>
          <w:b w:val="0"/>
          <w:bCs w:val="0"/>
          <w:lang w:val="en-US" w:eastAsia="zh-CN"/>
        </w:rPr>
      </w:pPr>
      <w:r>
        <w:rPr>
          <w:rFonts w:hint="default" w:ascii="Times New Roman" w:hAnsi="Times New Roman" w:cs="Times New Roman"/>
          <w:b/>
          <w:bCs/>
        </w:rPr>
        <w:t>格式1</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-6</w:t>
      </w:r>
      <w:r>
        <w:rPr>
          <w:rFonts w:hint="default" w:ascii="Times New Roman" w:hAnsi="Times New Roman" w:cs="Times New Roman"/>
          <w:b/>
          <w:bCs/>
        </w:rPr>
        <w:t>：</w:t>
      </w:r>
      <w:r>
        <w:rPr>
          <w:rFonts w:hint="default" w:ascii="Times New Roman" w:hAnsi="Times New Roman" w:cs="Times New Roman"/>
          <w:b w:val="0"/>
          <w:bCs w:val="0"/>
          <w:lang w:val="en-US" w:eastAsia="zh-CN"/>
        </w:rPr>
        <w:t>提供</w:t>
      </w:r>
      <w:r>
        <w:rPr>
          <w:rFonts w:hint="default" w:ascii="Times New Roman" w:hAnsi="Times New Roman" w:cs="Times New Roman"/>
          <w:b w:val="0"/>
          <w:bCs w:val="0"/>
        </w:rPr>
        <w:t>参加政府采购活动前三年内在经营活动中没有重大违法记录的</w:t>
      </w:r>
      <w:r>
        <w:rPr>
          <w:rFonts w:hint="default" w:ascii="Times New Roman" w:hAnsi="Times New Roman" w:cs="Times New Roman"/>
          <w:b w:val="0"/>
          <w:bCs w:val="0"/>
          <w:lang w:val="en-US" w:eastAsia="zh-CN"/>
        </w:rPr>
        <w:t>书面</w:t>
      </w:r>
      <w:r>
        <w:rPr>
          <w:rFonts w:hint="default" w:ascii="Times New Roman" w:hAnsi="Times New Roman" w:cs="Times New Roman"/>
          <w:b w:val="0"/>
          <w:bCs w:val="0"/>
        </w:rPr>
        <w:t>声明</w:t>
      </w:r>
      <w:r>
        <w:rPr>
          <w:rFonts w:hint="default" w:ascii="Times New Roman" w:hAnsi="Times New Roman" w:cs="Times New Roman"/>
          <w:b w:val="0"/>
          <w:bCs w:val="0"/>
          <w:lang w:val="en-US" w:eastAsia="zh-CN"/>
        </w:rPr>
        <w:t>函即可（格式自拟）。</w:t>
      </w:r>
    </w:p>
    <w:p w14:paraId="0EBFA5E5">
      <w:pPr>
        <w:pStyle w:val="2"/>
        <w:rPr>
          <w:rFonts w:hint="default" w:ascii="Times New Roman" w:hAnsi="Times New Roman"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24"/>
          <w:lang w:val="en-US" w:eastAsia="zh-CN" w:bidi="ar-SA"/>
        </w:rPr>
        <w:t>格式1</w:t>
      </w:r>
      <w:r>
        <w:rPr>
          <w:rFonts w:hint="eastAsia" w:ascii="Times New Roman" w:hAnsi="Times New Roman" w:cs="Times New Roman"/>
          <w:b/>
          <w:bCs/>
          <w:color w:val="auto"/>
          <w:kern w:val="2"/>
          <w:sz w:val="32"/>
          <w:szCs w:val="24"/>
          <w:lang w:val="en-US" w:eastAsia="zh-CN" w:bidi="ar-SA"/>
        </w:rPr>
        <w:t>2</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cs="Times New Roman"/>
          <w:b/>
          <w:bCs/>
          <w:color w:val="auto"/>
          <w:kern w:val="2"/>
          <w:sz w:val="32"/>
          <w:szCs w:val="24"/>
          <w:lang w:val="en-US" w:eastAsia="zh-CN" w:bidi="ar-SA"/>
        </w:rPr>
        <w:t>7</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单位负责人为同一人或者存在控股、管理关系的不同单位，不得同时参加同一合同项下的采购活动</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提供“证明材料或书面声明函</w:t>
      </w:r>
      <w:r>
        <w:rPr>
          <w:rFonts w:hint="default" w:ascii="Times New Roman" w:hAnsi="Times New Roman" w:cs="Times New Roman"/>
          <w:b w:val="0"/>
          <w:bCs w:val="0"/>
          <w:color w:val="auto"/>
          <w:kern w:val="2"/>
          <w:sz w:val="32"/>
          <w:szCs w:val="32"/>
          <w:u w:val="none" w:color="auto"/>
          <w:lang w:val="en-US" w:eastAsia="zh-CN" w:bidi="ar-SA"/>
        </w:rPr>
        <w:t>即可</w:t>
      </w:r>
      <w:r>
        <w:rPr>
          <w:rFonts w:hint="default" w:ascii="Times New Roman" w:hAnsi="Times New Roman" w:eastAsia="方正仿宋_GBK" w:cs="Times New Roman"/>
          <w:b w:val="0"/>
          <w:bCs w:val="0"/>
          <w:color w:val="auto"/>
          <w:kern w:val="2"/>
          <w:sz w:val="32"/>
          <w:szCs w:val="32"/>
          <w:u w:val="none" w:color="auto"/>
          <w:lang w:val="en-US" w:eastAsia="zh-CN" w:bidi="ar-SA"/>
        </w:rPr>
        <w:t>（格式自拟）</w:t>
      </w:r>
      <w:r>
        <w:rPr>
          <w:rFonts w:hint="default" w:ascii="Times New Roman" w:hAnsi="Times New Roman" w:cs="Times New Roman"/>
          <w:b w:val="0"/>
          <w:bCs w:val="0"/>
          <w:color w:val="auto"/>
          <w:kern w:val="2"/>
          <w:sz w:val="32"/>
          <w:szCs w:val="32"/>
          <w:u w:val="none" w:color="auto"/>
          <w:lang w:val="en-US" w:eastAsia="zh-CN" w:bidi="ar-SA"/>
        </w:rPr>
        <w:t>。</w:t>
      </w:r>
    </w:p>
    <w:p w14:paraId="05A9299A">
      <w:pPr>
        <w:rPr>
          <w:rFonts w:hint="default" w:ascii="Times New Roman" w:hAnsi="Times New Roman" w:cs="Times New Roman"/>
          <w:b w:val="0"/>
          <w:bCs w:val="0"/>
          <w:color w:val="auto"/>
          <w:kern w:val="2"/>
          <w:sz w:val="32"/>
          <w:szCs w:val="32"/>
          <w:u w:val="none" w:color="auto"/>
          <w:lang w:val="en-US" w:eastAsia="zh-CN" w:bidi="ar-SA"/>
        </w:rPr>
      </w:pPr>
    </w:p>
    <w:p w14:paraId="14839C07">
      <w:pPr>
        <w:rPr>
          <w:rFonts w:hint="default" w:ascii="Times New Roman" w:hAnsi="Times New Roman" w:cs="Times New Roman"/>
          <w:b w:val="0"/>
          <w:bCs w:val="0"/>
          <w:color w:val="auto"/>
          <w:kern w:val="2"/>
          <w:sz w:val="32"/>
          <w:szCs w:val="32"/>
          <w:u w:val="none" w:color="auto"/>
          <w:lang w:val="en-US" w:eastAsia="zh-CN" w:bidi="ar-SA"/>
        </w:rPr>
      </w:pPr>
    </w:p>
    <w:p w14:paraId="2A27860E">
      <w:pPr>
        <w:rPr>
          <w:rFonts w:hint="default" w:ascii="Times New Roman" w:hAnsi="Times New Roman" w:cs="Times New Roman"/>
          <w:b w:val="0"/>
          <w:bCs w:val="0"/>
          <w:color w:val="auto"/>
          <w:kern w:val="2"/>
          <w:sz w:val="32"/>
          <w:szCs w:val="32"/>
          <w:u w:val="none" w:color="auto"/>
          <w:lang w:val="en-US" w:eastAsia="zh-CN" w:bidi="ar-SA"/>
        </w:rPr>
      </w:pPr>
    </w:p>
    <w:p w14:paraId="5558EC94">
      <w:pPr>
        <w:rPr>
          <w:rFonts w:hint="default" w:ascii="Times New Roman" w:hAnsi="Times New Roman" w:cs="Times New Roman"/>
          <w:b w:val="0"/>
          <w:bCs w:val="0"/>
          <w:color w:val="auto"/>
          <w:kern w:val="2"/>
          <w:sz w:val="32"/>
          <w:szCs w:val="32"/>
          <w:u w:val="none" w:color="auto"/>
          <w:lang w:val="en-US" w:eastAsia="zh-CN" w:bidi="ar-SA"/>
        </w:rPr>
      </w:pPr>
    </w:p>
    <w:p w14:paraId="1CCEEECB">
      <w:pPr>
        <w:pStyle w:val="4"/>
        <w:bidi w:val="0"/>
        <w:rPr>
          <w:rFonts w:hint="default" w:ascii="Times New Roman" w:hAnsi="Times New Roman" w:eastAsia="方正黑体_GBK" w:cs="Times New Roman"/>
          <w:lang w:eastAsia="zh-CN"/>
        </w:rPr>
      </w:pPr>
      <w:bookmarkStart w:id="159" w:name="_Toc28525"/>
      <w:r>
        <w:rPr>
          <w:rFonts w:hint="default" w:ascii="Times New Roman" w:hAnsi="Times New Roman" w:cs="Times New Roman"/>
        </w:rPr>
        <w:t>格式1</w:t>
      </w:r>
      <w:r>
        <w:rPr>
          <w:rFonts w:hint="eastAsia" w:ascii="Times New Roman" w:hAnsi="Times New Roman" w:cs="Times New Roman"/>
          <w:lang w:val="en-US" w:eastAsia="zh-CN"/>
        </w:rPr>
        <w:t>3</w:t>
      </w:r>
      <w:r>
        <w:rPr>
          <w:rFonts w:hint="default" w:ascii="Times New Roman" w:hAnsi="Times New Roman" w:cs="Times New Roman"/>
        </w:rPr>
        <w:t>：企业相关资料</w:t>
      </w:r>
      <w:bookmarkEnd w:id="159"/>
      <w:r>
        <w:rPr>
          <w:rFonts w:hint="default" w:ascii="Times New Roman" w:hAnsi="Times New Roman" w:cs="Times New Roman"/>
          <w:lang w:eastAsia="zh-CN"/>
        </w:rPr>
        <w:t>（</w:t>
      </w:r>
      <w:r>
        <w:rPr>
          <w:rFonts w:hint="default" w:ascii="Times New Roman" w:hAnsi="Times New Roman" w:cs="Times New Roman"/>
          <w:lang w:val="en-US" w:eastAsia="zh-CN"/>
        </w:rPr>
        <w:t>若有</w:t>
      </w:r>
      <w:r>
        <w:rPr>
          <w:rFonts w:hint="default" w:ascii="Times New Roman" w:hAnsi="Times New Roman" w:cs="Times New Roman"/>
          <w:lang w:eastAsia="zh-CN"/>
        </w:rPr>
        <w:t>）</w:t>
      </w:r>
    </w:p>
    <w:p w14:paraId="54723B69">
      <w:pPr>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企业相关资料</w:t>
      </w:r>
    </w:p>
    <w:p w14:paraId="76E5DCAA">
      <w:pPr>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14:paraId="635EF018">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60" w:name="_Toc12932_WPSOffice_Level2"/>
      <w:bookmarkStart w:id="161" w:name="_Toc11700_WPSOffice_Level2"/>
      <w:bookmarkStart w:id="162" w:name="_Toc3033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所投产品的说明书、彩页、检验报告等相关材料（若有）；</w:t>
      </w:r>
      <w:bookmarkEnd w:id="160"/>
      <w:bookmarkEnd w:id="161"/>
      <w:bookmarkEnd w:id="162"/>
    </w:p>
    <w:p w14:paraId="2E12CB31">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63" w:name="_Toc23114_WPSOffice_Level2"/>
      <w:bookmarkStart w:id="164" w:name="_Toc21697_WPSOffice_Level2"/>
      <w:bookmarkStart w:id="165" w:name="_Toc21652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公司介绍、公司获奖证书、公司实力证明材料（若有）；</w:t>
      </w:r>
      <w:bookmarkEnd w:id="163"/>
      <w:bookmarkEnd w:id="164"/>
      <w:bookmarkEnd w:id="165"/>
    </w:p>
    <w:p w14:paraId="107E014E">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66" w:name="_Toc32075_WPSOffice_Level2"/>
      <w:bookmarkStart w:id="167" w:name="_Toc16409_WPSOffice_Level2"/>
      <w:bookmarkStart w:id="168" w:name="_Toc23135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投标时所需提供的相关证明材料等等。</w:t>
      </w:r>
      <w:bookmarkEnd w:id="166"/>
      <w:bookmarkEnd w:id="167"/>
      <w:bookmarkEnd w:id="168"/>
    </w:p>
    <w:p w14:paraId="6C13AC28">
      <w:pPr>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询价采购文件</w:t>
      </w:r>
      <w:r>
        <w:rPr>
          <w:rFonts w:hint="default" w:ascii="Times New Roman" w:hAnsi="Times New Roman" w:eastAsia="方正仿宋_GBK" w:cs="Times New Roman"/>
          <w:color w:val="000000" w:themeColor="text1"/>
          <w:sz w:val="32"/>
          <w:szCs w:val="32"/>
          <w14:textFill>
            <w14:solidFill>
              <w14:schemeClr w14:val="tx1"/>
            </w14:solidFill>
          </w14:textFill>
        </w:rPr>
        <w:t>中要求提交的其他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部分</w:t>
      </w:r>
      <w:r>
        <w:rPr>
          <w:rFonts w:hint="default" w:ascii="Times New Roman" w:hAnsi="Times New Roman" w:eastAsia="方正仿宋_GBK" w:cs="Times New Roman"/>
          <w:color w:val="000000" w:themeColor="text1"/>
          <w:sz w:val="32"/>
          <w:szCs w:val="32"/>
          <w14:textFill>
            <w14:solidFill>
              <w14:schemeClr w14:val="tx1"/>
            </w14:solidFill>
          </w14:textFill>
        </w:rPr>
        <w:t>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见</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以及供应商自身认为可提供的相关资料。</w:t>
      </w:r>
    </w:p>
    <w:p w14:paraId="16A69FE3">
      <w:pPr>
        <w:pStyle w:val="4"/>
        <w:bidi w:val="0"/>
        <w:outlineLvl w:val="9"/>
        <w:rPr>
          <w:rFonts w:hint="default" w:ascii="Times New Roman" w:hAnsi="Times New Roman" w:cs="Times New Roman"/>
        </w:rPr>
      </w:pPr>
    </w:p>
    <w:p w14:paraId="565117A6">
      <w:pPr>
        <w:pStyle w:val="4"/>
        <w:bidi w:val="0"/>
        <w:rPr>
          <w:rFonts w:hint="default" w:ascii="Times New Roman" w:hAnsi="Times New Roman" w:cs="Times New Roman"/>
        </w:rPr>
      </w:pPr>
    </w:p>
    <w:p w14:paraId="1058187B">
      <w:pPr>
        <w:rPr>
          <w:rFonts w:hint="default" w:ascii="Times New Roman" w:hAnsi="Times New Roman" w:cs="Times New Roman"/>
          <w:b w:val="0"/>
          <w:bCs w:val="0"/>
          <w:color w:val="auto"/>
          <w:kern w:val="2"/>
          <w:sz w:val="32"/>
          <w:szCs w:val="32"/>
          <w:u w:val="none" w:color="auto"/>
          <w:lang w:val="en-US" w:eastAsia="zh-CN" w:bidi="ar-SA"/>
        </w:rPr>
      </w:pPr>
    </w:p>
    <w:p w14:paraId="16A3C5E5">
      <w:pPr>
        <w:rPr>
          <w:rFonts w:hint="default" w:ascii="Times New Roman" w:hAnsi="Times New Roman" w:cs="Times New Roman"/>
          <w:b w:val="0"/>
          <w:bCs w:val="0"/>
          <w:color w:val="auto"/>
          <w:kern w:val="2"/>
          <w:sz w:val="32"/>
          <w:szCs w:val="32"/>
          <w:u w:val="none" w:color="auto"/>
          <w:lang w:val="en-US" w:eastAsia="zh-CN" w:bidi="ar-SA"/>
        </w:rPr>
      </w:pPr>
    </w:p>
    <w:p w14:paraId="3B94AE4E">
      <w:pPr>
        <w:rPr>
          <w:rFonts w:hint="default" w:ascii="Times New Roman" w:hAnsi="Times New Roman" w:cs="Times New Roman"/>
          <w:b w:val="0"/>
          <w:bCs w:val="0"/>
          <w:color w:val="auto"/>
          <w:kern w:val="2"/>
          <w:sz w:val="32"/>
          <w:szCs w:val="32"/>
          <w:u w:val="none" w:color="auto"/>
          <w:lang w:val="en-US" w:eastAsia="zh-CN" w:bidi="ar-SA"/>
        </w:rPr>
      </w:pPr>
    </w:p>
    <w:p w14:paraId="0994D57A">
      <w:pPr>
        <w:rPr>
          <w:rFonts w:hint="default" w:ascii="Times New Roman" w:hAnsi="Times New Roman" w:cs="Times New Roman"/>
          <w:b w:val="0"/>
          <w:bCs w:val="0"/>
          <w:color w:val="auto"/>
          <w:kern w:val="2"/>
          <w:sz w:val="32"/>
          <w:szCs w:val="32"/>
          <w:u w:val="none" w:color="auto"/>
          <w:lang w:val="en-US" w:eastAsia="zh-CN" w:bidi="ar-SA"/>
        </w:rPr>
      </w:pPr>
    </w:p>
    <w:p w14:paraId="6C8AD706">
      <w:pPr>
        <w:rPr>
          <w:rFonts w:hint="default" w:ascii="Times New Roman" w:hAnsi="Times New Roman" w:cs="Times New Roman"/>
          <w:b w:val="0"/>
          <w:bCs w:val="0"/>
          <w:color w:val="auto"/>
          <w:kern w:val="2"/>
          <w:sz w:val="32"/>
          <w:szCs w:val="32"/>
          <w:u w:val="none" w:color="auto"/>
          <w:lang w:val="en-US" w:eastAsia="zh-CN" w:bidi="ar-SA"/>
        </w:rPr>
      </w:pPr>
    </w:p>
    <w:p w14:paraId="2FDDE4C5">
      <w:pPr>
        <w:rPr>
          <w:rFonts w:hint="default" w:ascii="Times New Roman" w:hAnsi="Times New Roman" w:cs="Times New Roman"/>
          <w:b w:val="0"/>
          <w:bCs w:val="0"/>
          <w:color w:val="auto"/>
          <w:kern w:val="2"/>
          <w:sz w:val="32"/>
          <w:szCs w:val="32"/>
          <w:u w:val="none" w:color="auto"/>
          <w:lang w:val="en-US" w:eastAsia="zh-CN" w:bidi="ar-SA"/>
        </w:rPr>
      </w:pPr>
    </w:p>
    <w:p w14:paraId="703E7B00">
      <w:pPr>
        <w:rPr>
          <w:rFonts w:hint="default" w:ascii="Times New Roman" w:hAnsi="Times New Roman" w:cs="Times New Roman"/>
          <w:b w:val="0"/>
          <w:bCs w:val="0"/>
          <w:color w:val="auto"/>
          <w:kern w:val="2"/>
          <w:sz w:val="32"/>
          <w:szCs w:val="32"/>
          <w:u w:val="none" w:color="auto"/>
          <w:lang w:val="en-US" w:eastAsia="zh-CN" w:bidi="ar-SA"/>
        </w:rPr>
      </w:pPr>
    </w:p>
    <w:p w14:paraId="0C17CCB5">
      <w:pPr>
        <w:rPr>
          <w:rFonts w:hint="default" w:ascii="Times New Roman" w:hAnsi="Times New Roman" w:cs="Times New Roman"/>
          <w:b w:val="0"/>
          <w:bCs w:val="0"/>
          <w:color w:val="auto"/>
          <w:kern w:val="2"/>
          <w:sz w:val="32"/>
          <w:szCs w:val="32"/>
          <w:u w:val="none" w:color="auto"/>
          <w:lang w:val="en-US" w:eastAsia="zh-CN" w:bidi="ar-SA"/>
        </w:rPr>
      </w:pPr>
    </w:p>
    <w:p w14:paraId="6ACC7958">
      <w:pPr>
        <w:rPr>
          <w:rFonts w:hint="default" w:ascii="Times New Roman" w:hAnsi="Times New Roman" w:cs="Times New Roman"/>
          <w:b w:val="0"/>
          <w:bCs w:val="0"/>
          <w:color w:val="auto"/>
          <w:kern w:val="2"/>
          <w:sz w:val="32"/>
          <w:szCs w:val="32"/>
          <w:u w:val="none" w:color="auto"/>
          <w:lang w:val="en-US" w:eastAsia="zh-CN" w:bidi="ar-SA"/>
        </w:rPr>
      </w:pPr>
    </w:p>
    <w:p w14:paraId="4FB97459">
      <w:pPr>
        <w:rPr>
          <w:rFonts w:hint="default" w:ascii="Times New Roman" w:hAnsi="Times New Roman" w:cs="Times New Roman"/>
          <w:b w:val="0"/>
          <w:bCs w:val="0"/>
          <w:color w:val="auto"/>
          <w:kern w:val="2"/>
          <w:sz w:val="32"/>
          <w:szCs w:val="32"/>
          <w:u w:val="none" w:color="auto"/>
          <w:lang w:val="en-US" w:eastAsia="zh-CN" w:bidi="ar-SA"/>
        </w:rPr>
      </w:pPr>
    </w:p>
    <w:p w14:paraId="51A61CBE">
      <w:pPr>
        <w:rPr>
          <w:rFonts w:hint="default" w:ascii="Times New Roman" w:hAnsi="Times New Roman" w:cs="Times New Roman"/>
          <w:b w:val="0"/>
          <w:bCs w:val="0"/>
          <w:color w:val="auto"/>
          <w:kern w:val="2"/>
          <w:sz w:val="32"/>
          <w:szCs w:val="32"/>
          <w:u w:val="none" w:color="auto"/>
          <w:lang w:val="en-US" w:eastAsia="zh-CN" w:bidi="ar-SA"/>
        </w:rPr>
      </w:pPr>
    </w:p>
    <w:p w14:paraId="688559B0">
      <w:pPr>
        <w:rPr>
          <w:rFonts w:hint="default" w:ascii="Times New Roman" w:hAnsi="Times New Roman" w:cs="Times New Roman"/>
          <w:b w:val="0"/>
          <w:bCs w:val="0"/>
          <w:color w:val="auto"/>
          <w:kern w:val="2"/>
          <w:sz w:val="32"/>
          <w:szCs w:val="32"/>
          <w:u w:val="none" w:color="auto"/>
          <w:lang w:val="en-US" w:eastAsia="zh-CN" w:bidi="ar-SA"/>
        </w:rPr>
      </w:pPr>
    </w:p>
    <w:p w14:paraId="332E8CAD">
      <w:pPr>
        <w:rPr>
          <w:rFonts w:hint="default" w:ascii="Times New Roman" w:hAnsi="Times New Roman" w:cs="Times New Roman"/>
          <w:b w:val="0"/>
          <w:bCs w:val="0"/>
          <w:color w:val="auto"/>
          <w:kern w:val="2"/>
          <w:sz w:val="32"/>
          <w:szCs w:val="32"/>
          <w:u w:val="none" w:color="auto"/>
          <w:lang w:val="en-US" w:eastAsia="zh-CN" w:bidi="ar-SA"/>
        </w:rPr>
      </w:pPr>
    </w:p>
    <w:p w14:paraId="7E94AD7D">
      <w:pPr>
        <w:rPr>
          <w:rFonts w:hint="default" w:ascii="Times New Roman" w:hAnsi="Times New Roman" w:cs="Times New Roman"/>
          <w:b w:val="0"/>
          <w:bCs w:val="0"/>
          <w:color w:val="auto"/>
          <w:kern w:val="2"/>
          <w:sz w:val="32"/>
          <w:szCs w:val="32"/>
          <w:u w:val="none" w:color="auto"/>
          <w:lang w:val="en-US" w:eastAsia="zh-CN" w:bidi="ar-SA"/>
        </w:rPr>
      </w:pPr>
    </w:p>
    <w:p w14:paraId="5744A1A3">
      <w:pPr>
        <w:pStyle w:val="3"/>
        <w:bidi w:val="0"/>
        <w:rPr>
          <w:rFonts w:hint="default" w:ascii="Times New Roman" w:hAnsi="Times New Roman" w:eastAsia="方正小标宋_GBK" w:cs="Times New Roman"/>
          <w:sz w:val="44"/>
          <w:szCs w:val="44"/>
          <w:lang w:val="en-US" w:eastAsia="zh-CN"/>
        </w:rPr>
      </w:pPr>
      <w:bookmarkStart w:id="169" w:name="_Toc24466"/>
      <w:r>
        <w:rPr>
          <w:rFonts w:hint="default" w:ascii="Times New Roman" w:hAnsi="Times New Roman" w:eastAsia="方正小标宋_GBK" w:cs="Times New Roman"/>
          <w:sz w:val="44"/>
          <w:szCs w:val="44"/>
          <w:lang w:val="en-US" w:eastAsia="zh-CN"/>
        </w:rPr>
        <w:t>第五章 采购需求</w:t>
      </w:r>
      <w:bookmarkEnd w:id="169"/>
    </w:p>
    <w:p w14:paraId="63712636">
      <w:pPr>
        <w:rPr>
          <w:rFonts w:hint="default"/>
          <w:lang w:val="en-US" w:eastAsia="zh-CN"/>
        </w:rPr>
      </w:pPr>
    </w:p>
    <w:p w14:paraId="5560DE2D">
      <w:pPr>
        <w:pStyle w:val="4"/>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bookmarkStart w:id="170" w:name="_Toc18383"/>
      <w:bookmarkStart w:id="171" w:name="_Toc7716_WPSOffice_Level2"/>
      <w:r>
        <w:rPr>
          <w:rFonts w:hint="default" w:ascii="Times New Roman" w:hAnsi="Times New Roman" w:cs="Times New Roman"/>
          <w:lang w:val="en-US" w:eastAsia="zh-CN"/>
        </w:rPr>
        <w:t>一、</w:t>
      </w:r>
      <w:bookmarkEnd w:id="170"/>
      <w:bookmarkEnd w:id="171"/>
      <w:r>
        <w:rPr>
          <w:rFonts w:hint="default" w:ascii="Times New Roman" w:hAnsi="Times New Roman" w:cs="Times New Roman"/>
          <w:lang w:val="en-US" w:eastAsia="zh-CN"/>
        </w:rPr>
        <w:t>采购清单</w:t>
      </w:r>
      <w:r>
        <w:rPr>
          <w:rFonts w:hint="eastAsia" w:ascii="Times New Roman" w:hAnsi="Times New Roman" w:cs="Times New Roman"/>
          <w:lang w:val="en-US" w:eastAsia="zh-CN"/>
        </w:rPr>
        <w:t>及具体要求</w:t>
      </w:r>
    </w:p>
    <w:p w14:paraId="35FFB1AA">
      <w:pPr>
        <w:ind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kern w:val="2"/>
          <w:sz w:val="32"/>
          <w:szCs w:val="32"/>
          <w:u w:val="none"/>
          <w:lang w:val="en-US" w:eastAsia="zh-CN" w:bidi="ar-SA"/>
        </w:rPr>
        <w:t>采购清单详见附件1：</w:t>
      </w:r>
      <w:r>
        <w:rPr>
          <w:rFonts w:hint="eastAsia" w:ascii="Times New Roman" w:hAnsi="Times New Roman" w:cs="Times New Roman"/>
          <w:b w:val="0"/>
          <w:bCs w:val="0"/>
          <w:color w:val="auto"/>
          <w:kern w:val="2"/>
          <w:sz w:val="32"/>
          <w:szCs w:val="32"/>
          <w:u w:val="none"/>
          <w:lang w:val="en-US" w:eastAsia="zh-CN" w:bidi="ar-SA"/>
        </w:rPr>
        <w:t>大理州第二人民医院2025年药物基因检测试剂耗材采购项目（二次）</w:t>
      </w:r>
      <w:r>
        <w:rPr>
          <w:rFonts w:hint="default" w:ascii="Times New Roman" w:hAnsi="Times New Roman" w:eastAsia="方正仿宋_GBK" w:cs="Times New Roman"/>
          <w:b w:val="0"/>
          <w:bCs w:val="0"/>
          <w:color w:val="auto"/>
          <w:kern w:val="2"/>
          <w:sz w:val="32"/>
          <w:szCs w:val="32"/>
          <w:u w:val="none"/>
          <w:lang w:val="en-US" w:eastAsia="zh-CN" w:bidi="ar-SA"/>
        </w:rPr>
        <w:t>采购清单</w:t>
      </w:r>
    </w:p>
    <w:p w14:paraId="4BE58F8B">
      <w:pPr>
        <w:pStyle w:val="4"/>
        <w:pageBreakBefore w:val="0"/>
        <w:widowControl w:val="0"/>
        <w:numPr>
          <w:ilvl w:val="0"/>
          <w:numId w:val="6"/>
        </w:numPr>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172" w:name="_Toc2488"/>
      <w:r>
        <w:rPr>
          <w:rFonts w:hint="default" w:ascii="Times New Roman" w:hAnsi="Times New Roman" w:cs="Times New Roman"/>
          <w:lang w:val="en-US" w:eastAsia="zh-CN"/>
        </w:rPr>
        <w:t>商务要求</w:t>
      </w:r>
      <w:bookmarkEnd w:id="172"/>
    </w:p>
    <w:p w14:paraId="541BCCDC">
      <w:pPr>
        <w:keepNext w:val="0"/>
        <w:keepLines w:val="0"/>
        <w:pageBreakBefore w:val="0"/>
        <w:widowControl w:val="0"/>
        <w:numPr>
          <w:ilvl w:val="0"/>
          <w:numId w:val="7"/>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交货时间：接到订单后，中标方正常情况下48小时内送达采购人指定地点，特殊情况不得超过72小时，加急情况下需24小时内送达，特殊情况下节假日照常配送；</w:t>
      </w:r>
    </w:p>
    <w:p w14:paraId="51CB991D">
      <w:pPr>
        <w:keepNext w:val="0"/>
        <w:keepLines w:val="0"/>
        <w:pageBreakBefore w:val="0"/>
        <w:widowControl w:val="0"/>
        <w:numPr>
          <w:ilvl w:val="0"/>
          <w:numId w:val="7"/>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交货地点：大理州第二人民医院指定地点；</w:t>
      </w:r>
    </w:p>
    <w:p w14:paraId="1FAFF275">
      <w:pPr>
        <w:keepNext w:val="0"/>
        <w:keepLines w:val="0"/>
        <w:pageBreakBefore w:val="0"/>
        <w:widowControl w:val="0"/>
        <w:numPr>
          <w:ilvl w:val="0"/>
          <w:numId w:val="7"/>
        </w:numPr>
        <w:kinsoku/>
        <w:wordWrap/>
        <w:overflowPunct/>
        <w:topLinePunct w:val="0"/>
        <w:autoSpaceDE/>
        <w:autoSpaceDN/>
        <w:bidi w:val="0"/>
        <w:snapToGrid/>
        <w:spacing w:line="460" w:lineRule="exact"/>
        <w:ind w:left="0" w:leftChars="0" w:firstLine="0" w:firstLine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交货方式</w:t>
      </w:r>
      <w:r>
        <w:rPr>
          <w:rFonts w:hint="default" w:ascii="Times New Roman" w:hAnsi="Times New Roman" w:cs="Times New Roman"/>
          <w:b w:val="0"/>
          <w:bCs w:val="0"/>
          <w:color w:val="auto"/>
          <w:kern w:val="2"/>
          <w:sz w:val="32"/>
          <w:szCs w:val="32"/>
          <w:u w:val="none"/>
          <w:lang w:val="en-US" w:eastAsia="zh-CN" w:bidi="ar-SA"/>
        </w:rPr>
        <w:t>：</w:t>
      </w:r>
      <w:r>
        <w:rPr>
          <w:rFonts w:hint="default" w:ascii="Times New Roman" w:hAnsi="Times New Roman" w:eastAsia="方正仿宋_GBK" w:cs="Times New Roman"/>
          <w:b w:val="0"/>
          <w:bCs w:val="0"/>
          <w:color w:val="auto"/>
          <w:kern w:val="2"/>
          <w:sz w:val="32"/>
          <w:szCs w:val="32"/>
          <w:u w:val="none"/>
          <w:lang w:val="en-US" w:eastAsia="zh-CN" w:bidi="ar-SA"/>
        </w:rPr>
        <w:t>由中标方负责免费运输至采购人指定位置，双方在场接收；</w:t>
      </w:r>
    </w:p>
    <w:p w14:paraId="1E3A9A29">
      <w:pPr>
        <w:keepNext w:val="0"/>
        <w:keepLines w:val="0"/>
        <w:pageBreakBefore w:val="0"/>
        <w:widowControl w:val="0"/>
        <w:numPr>
          <w:ilvl w:val="0"/>
          <w:numId w:val="7"/>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安装培训要求：必要时提供操作培训及答疑；</w:t>
      </w:r>
    </w:p>
    <w:p w14:paraId="56FC6218">
      <w:pPr>
        <w:keepNext w:val="0"/>
        <w:keepLines w:val="0"/>
        <w:pageBreakBefore w:val="0"/>
        <w:widowControl w:val="0"/>
        <w:numPr>
          <w:ilvl w:val="0"/>
          <w:numId w:val="7"/>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验收要求及标准：①对照发货清单、订购清单核对试剂耗材名称、规格型号、订购数量②核对试剂耗材生产厂家、批号、生产日期、有效期、包装情况、质量等③核对试剂耗材采购价格与合同价格；</w:t>
      </w:r>
    </w:p>
    <w:p w14:paraId="40576B18">
      <w:pPr>
        <w:pStyle w:val="2"/>
        <w:pageBreakBefore w:val="0"/>
        <w:widowControl w:val="0"/>
        <w:numPr>
          <w:ilvl w:val="0"/>
          <w:numId w:val="7"/>
        </w:numPr>
        <w:kinsoku/>
        <w:wordWrap/>
        <w:overflowPunct/>
        <w:topLinePunct w:val="0"/>
        <w:autoSpaceDE/>
        <w:autoSpaceDN/>
        <w:bidi w:val="0"/>
        <w:snapToGrid/>
        <w:spacing w:line="460" w:lineRule="exact"/>
        <w:ind w:left="0" w:leftChars="0" w:firstLine="0" w:firstLineChars="0"/>
        <w:textAlignment w:val="auto"/>
        <w:rPr>
          <w:rFonts w:hint="default" w:ascii="Times New Roman" w:hAnsi="Times New Roman"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其他要求：</w:t>
      </w:r>
      <w:r>
        <w:rPr>
          <w:rFonts w:hint="default" w:ascii="Times New Roman" w:hAnsi="Times New Roman" w:eastAsia="方正仿宋_GBK" w:cs="Times New Roman"/>
          <w:b w:val="0"/>
          <w:bCs w:val="0"/>
          <w:color w:val="auto"/>
          <w:kern w:val="2"/>
          <w:sz w:val="32"/>
          <w:szCs w:val="32"/>
          <w:u w:val="none"/>
          <w:lang w:val="en-US" w:eastAsia="zh-CN" w:bidi="ar-SA"/>
        </w:rPr>
        <w:t>中标方如没有按照合同约定的付款方式和时间提供发票进行结算，或者提供的发票和结算材料与实际采购数量、品种和金额不符导致无法办理结算付款的，</w:t>
      </w:r>
      <w:r>
        <w:rPr>
          <w:rFonts w:hint="default" w:ascii="Times New Roman" w:hAnsi="Times New Roman" w:cs="Times New Roman"/>
          <w:b w:val="0"/>
          <w:bCs w:val="0"/>
          <w:color w:val="auto"/>
          <w:kern w:val="2"/>
          <w:sz w:val="32"/>
          <w:szCs w:val="32"/>
          <w:u w:val="none"/>
          <w:lang w:val="en-US" w:eastAsia="zh-CN" w:bidi="ar-SA"/>
        </w:rPr>
        <w:t>采购人</w:t>
      </w:r>
      <w:r>
        <w:rPr>
          <w:rFonts w:hint="default" w:ascii="Times New Roman" w:hAnsi="Times New Roman" w:eastAsia="方正仿宋_GBK" w:cs="Times New Roman"/>
          <w:b w:val="0"/>
          <w:bCs w:val="0"/>
          <w:color w:val="auto"/>
          <w:kern w:val="2"/>
          <w:sz w:val="32"/>
          <w:szCs w:val="32"/>
          <w:u w:val="none"/>
          <w:lang w:val="en-US" w:eastAsia="zh-CN" w:bidi="ar-SA"/>
        </w:rPr>
        <w:t>有权不支付货款，情况严重的，</w:t>
      </w:r>
      <w:r>
        <w:rPr>
          <w:rFonts w:hint="default" w:ascii="Times New Roman" w:hAnsi="Times New Roman" w:cs="Times New Roman"/>
          <w:b w:val="0"/>
          <w:bCs w:val="0"/>
          <w:color w:val="auto"/>
          <w:kern w:val="2"/>
          <w:sz w:val="32"/>
          <w:szCs w:val="32"/>
          <w:u w:val="none"/>
          <w:lang w:val="en-US" w:eastAsia="zh-CN" w:bidi="ar-SA"/>
        </w:rPr>
        <w:t>采购人</w:t>
      </w:r>
      <w:r>
        <w:rPr>
          <w:rFonts w:hint="default" w:ascii="Times New Roman" w:hAnsi="Times New Roman" w:eastAsia="方正仿宋_GBK" w:cs="Times New Roman"/>
          <w:b w:val="0"/>
          <w:bCs w:val="0"/>
          <w:color w:val="auto"/>
          <w:kern w:val="2"/>
          <w:sz w:val="32"/>
          <w:szCs w:val="32"/>
          <w:u w:val="none"/>
          <w:lang w:val="en-US" w:eastAsia="zh-CN" w:bidi="ar-SA"/>
        </w:rPr>
        <w:t>有权终止合同，由此产生的责任由</w:t>
      </w:r>
      <w:r>
        <w:rPr>
          <w:rFonts w:hint="default" w:ascii="Times New Roman" w:hAnsi="Times New Roman" w:cs="Times New Roman"/>
          <w:b w:val="0"/>
          <w:bCs w:val="0"/>
          <w:color w:val="auto"/>
          <w:kern w:val="2"/>
          <w:sz w:val="32"/>
          <w:szCs w:val="32"/>
          <w:u w:val="none"/>
          <w:lang w:val="en-US" w:eastAsia="zh-CN" w:bidi="ar-SA"/>
        </w:rPr>
        <w:t>供应商</w:t>
      </w:r>
      <w:r>
        <w:rPr>
          <w:rFonts w:hint="default" w:ascii="Times New Roman" w:hAnsi="Times New Roman" w:eastAsia="方正仿宋_GBK" w:cs="Times New Roman"/>
          <w:b w:val="0"/>
          <w:bCs w:val="0"/>
          <w:color w:val="auto"/>
          <w:kern w:val="2"/>
          <w:sz w:val="32"/>
          <w:szCs w:val="32"/>
          <w:u w:val="none"/>
          <w:lang w:val="en-US" w:eastAsia="zh-CN" w:bidi="ar-SA"/>
        </w:rPr>
        <w:t>承担。</w:t>
      </w:r>
    </w:p>
    <w:p w14:paraId="242CEE22">
      <w:pPr>
        <w:pStyle w:val="4"/>
        <w:pageBreakBefore w:val="0"/>
        <w:widowControl w:val="0"/>
        <w:numPr>
          <w:ilvl w:val="0"/>
          <w:numId w:val="6"/>
        </w:numPr>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173" w:name="_Toc10131"/>
      <w:r>
        <w:rPr>
          <w:rFonts w:hint="default" w:ascii="Times New Roman" w:hAnsi="Times New Roman" w:cs="Times New Roman"/>
          <w:lang w:val="en-US" w:eastAsia="zh-CN"/>
        </w:rPr>
        <w:t>售后服务要求</w:t>
      </w:r>
      <w:bookmarkEnd w:id="173"/>
    </w:p>
    <w:p w14:paraId="53F6E4CF">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default" w:ascii="Times New Roman" w:hAnsi="Times New Roman"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1、技术服务要求：必要时免费派工程师现场指导培训，提供试剂耗材操作培训及答疑；</w:t>
      </w:r>
    </w:p>
    <w:p w14:paraId="262C1223">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default" w:ascii="Times New Roman" w:hAnsi="Times New Roman"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2、有效期要求：所提供耗材有效期至少在总有效期的2/3以上。</w:t>
      </w:r>
    </w:p>
    <w:p w14:paraId="6B703358">
      <w:pPr>
        <w:rPr>
          <w:rFonts w:hint="default" w:ascii="Times New Roman" w:hAnsi="Times New Roman" w:cs="Times New Roman"/>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tbl>
      <w:tblPr>
        <w:tblStyle w:val="15"/>
        <w:tblW w:w="140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2"/>
        <w:gridCol w:w="2210"/>
        <w:gridCol w:w="1515"/>
        <w:gridCol w:w="810"/>
        <w:gridCol w:w="930"/>
        <w:gridCol w:w="1000"/>
        <w:gridCol w:w="965"/>
        <w:gridCol w:w="720"/>
        <w:gridCol w:w="900"/>
        <w:gridCol w:w="735"/>
        <w:gridCol w:w="870"/>
        <w:gridCol w:w="2955"/>
      </w:tblGrid>
      <w:tr w14:paraId="4F696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82" w:type="dxa"/>
            <w:gridSpan w:val="12"/>
            <w:tcBorders>
              <w:top w:val="nil"/>
              <w:left w:val="nil"/>
              <w:bottom w:val="nil"/>
              <w:right w:val="nil"/>
            </w:tcBorders>
            <w:shd w:val="clear" w:color="auto" w:fill="auto"/>
            <w:vAlign w:val="center"/>
          </w:tcPr>
          <w:p w14:paraId="0059072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附件1：大理州第二人民医院2025年药物基因检测试剂耗材采购项目（二次）采购清单</w:t>
            </w:r>
          </w:p>
        </w:tc>
      </w:tr>
      <w:tr w14:paraId="6043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8A9F5">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9FB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48FD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2764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生产企业</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1E56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预算单位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66BE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预算单价（元）</w:t>
            </w: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F70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预估采购数量</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8B7C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下浮率（%）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0A31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投标单价(元)</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05A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供货单位</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BC0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供货单价</w:t>
            </w:r>
            <w:r>
              <w:rPr>
                <w:rStyle w:val="34"/>
                <w:rFonts w:eastAsia="仿宋"/>
                <w:lang w:val="en-US" w:eastAsia="zh-CN" w:bidi="ar"/>
              </w:rPr>
              <w:t>(</w:t>
            </w:r>
            <w:r>
              <w:rPr>
                <w:rFonts w:hint="eastAsia" w:ascii="仿宋" w:hAnsi="仿宋" w:eastAsia="仿宋" w:cs="仿宋"/>
                <w:b/>
                <w:bCs/>
                <w:i w:val="0"/>
                <w:iCs w:val="0"/>
                <w:color w:val="000000"/>
                <w:kern w:val="0"/>
                <w:sz w:val="24"/>
                <w:szCs w:val="24"/>
                <w:u w:val="none"/>
                <w:lang w:val="en-US" w:eastAsia="zh-CN" w:bidi="ar"/>
              </w:rPr>
              <w:t>元</w:t>
            </w:r>
            <w:r>
              <w:rPr>
                <w:rStyle w:val="34"/>
                <w:rFonts w:eastAsia="仿宋"/>
                <w:lang w:val="en-US" w:eastAsia="zh-CN" w:bidi="ar"/>
              </w:rPr>
              <w:t>)</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20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备注（特殊要求）</w:t>
            </w:r>
          </w:p>
        </w:tc>
      </w:tr>
      <w:tr w14:paraId="7D6B2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AE3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210" w:type="dxa"/>
            <w:tcBorders>
              <w:top w:val="nil"/>
              <w:left w:val="nil"/>
              <w:bottom w:val="nil"/>
              <w:right w:val="nil"/>
            </w:tcBorders>
            <w:shd w:val="clear" w:color="auto" w:fill="auto"/>
            <w:noWrap/>
            <w:vAlign w:val="center"/>
          </w:tcPr>
          <w:p w14:paraId="42E40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测序反应通用试剂盒</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81DB7">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499E">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BE239">
            <w:pPr>
              <w:keepNext w:val="0"/>
              <w:keepLines w:val="0"/>
              <w:widowControl/>
              <w:suppressLineNumbers w:val="0"/>
              <w:jc w:val="center"/>
              <w:textAlignment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000000"/>
                <w:kern w:val="0"/>
                <w:sz w:val="22"/>
                <w:szCs w:val="22"/>
                <w:u w:val="none"/>
                <w:lang w:val="en-US" w:eastAsia="zh-CN" w:bidi="ar"/>
              </w:rPr>
              <w:t>反应</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4F7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48.00 </w:t>
            </w: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1B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310.00 </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FA0EEF">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BC6AE">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80E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77453">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9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5"/>
                <w:rFonts w:ascii="宋体" w:hAnsi="宋体" w:eastAsia="宋体" w:cs="宋体"/>
                <w:i w:val="0"/>
                <w:iCs w:val="0"/>
                <w:color w:val="000000"/>
                <w:lang w:val="en-US" w:eastAsia="zh-CN" w:bidi="ar"/>
              </w:rPr>
              <w:t>包含：CYP2C19、CYP2D6、SLCO1B1和ApoE、FKBP5、HTR1A(1791C&gt;T)、HTR1A(-1019G&gt;C)、CYP2C9、HLA-B*1502、MC4R等基因，</w:t>
            </w:r>
            <w:r>
              <w:rPr>
                <w:rStyle w:val="35"/>
                <w:lang w:val="en-US" w:eastAsia="zh-CN" w:bidi="ar"/>
              </w:rPr>
              <w:t>须保证适用于西安天隆的Gentier96E全自动医用PCR分析仪、上海宏石的SLAN-96S全自动医用PCR分析系统</w:t>
            </w:r>
          </w:p>
        </w:tc>
      </w:tr>
      <w:tr w14:paraId="3BAF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242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A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核酸提取或纯化试剂盒</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6E326">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65228">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703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人份</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535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10.44 </w:t>
            </w: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182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54B7C">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DF5D7">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96E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4243A">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5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适用于西安天隆的GeneRotex96全自动核酸提取仪</w:t>
            </w:r>
          </w:p>
        </w:tc>
      </w:tr>
      <w:tr w14:paraId="6352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1E7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2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核酸提取或纯化试剂盒（单人份包装）</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A0F88">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E7A9D">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6C0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人份</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860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15.50 </w:t>
            </w: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F67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7A450">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9EC43">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FD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976F6">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7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适用于西安天隆的GeneRotex96全自动核酸提取仪</w:t>
            </w:r>
          </w:p>
        </w:tc>
      </w:tr>
      <w:tr w14:paraId="6A98D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6E2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5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全血DNA提取纯化试剂盒</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9809E">
            <w:pPr>
              <w:jc w:val="center"/>
              <w:rPr>
                <w:rFonts w:hint="eastAsia" w:ascii="仿宋" w:hAnsi="仿宋" w:eastAsia="仿宋" w:cs="仿宋"/>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0D09E">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F18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人份</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0C3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10.44 </w:t>
            </w: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B74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372AC">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6B195">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BCF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B25E1">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7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适用于厦门致善的Lab-Aid896核酸提取仪</w:t>
            </w:r>
          </w:p>
        </w:tc>
      </w:tr>
      <w:tr w14:paraId="29BC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96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9C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八联管及八联管盖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7998">
            <w:pPr>
              <w:jc w:val="center"/>
              <w:rPr>
                <w:rFonts w:hint="eastAsia" w:ascii="仿宋" w:hAnsi="仿宋" w:eastAsia="仿宋" w:cs="仿宋"/>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D212">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8532">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65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0.52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E3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94BFB">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6FFE3">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1FB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4D84E">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B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r>
      <w:tr w14:paraId="2F8AC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86A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1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八联管盖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56BA">
            <w:pPr>
              <w:jc w:val="center"/>
              <w:rPr>
                <w:rFonts w:hint="eastAsia" w:ascii="仿宋" w:hAnsi="仿宋" w:eastAsia="仿宋" w:cs="仿宋"/>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DA9B">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94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5B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0.17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66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F45BB">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1A337">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CF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CF31">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9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r>
      <w:tr w14:paraId="33DF6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CC4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8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带滤芯吸头</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ED7D8">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8E1F">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AE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E7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0.35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7B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2F822">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05EEF">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5F7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B4038">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5D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无色、灭菌、1000ul/支</w:t>
            </w:r>
          </w:p>
        </w:tc>
      </w:tr>
      <w:tr w14:paraId="2CDD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2EF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6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带滤芯吸头</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CF3CA">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8C61">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17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D4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0.35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37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88BF5">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1DABB">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B0C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767D6">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9C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无色、灭菌、200ul/支</w:t>
            </w:r>
          </w:p>
        </w:tc>
      </w:tr>
      <w:tr w14:paraId="61CE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DC6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9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带滤芯吸头</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80200">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50BB">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24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03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0.35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7F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6F8B8">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C29C">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0B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F6646">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6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无色、灭菌、20ul/支</w:t>
            </w:r>
          </w:p>
        </w:tc>
      </w:tr>
      <w:tr w14:paraId="0D97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D45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6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带滤芯吸头</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0A188">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2BAB">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2E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BD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0.35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C8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39B2B">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DAECC">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E0C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C4E9">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8D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无色、灭菌、10/支</w:t>
            </w:r>
          </w:p>
        </w:tc>
      </w:tr>
      <w:tr w14:paraId="5B83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BF6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8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尖头离心管</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DC7E2">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C161">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B2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CC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0.13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0D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30318">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07646">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7E8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38F88">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D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1.5ml/个</w:t>
            </w:r>
          </w:p>
        </w:tc>
      </w:tr>
      <w:tr w14:paraId="021B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456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6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核酸清除剂</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AD2DC">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23149">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494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ml</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F61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1.39 </w:t>
            </w: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682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D6C74">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878C4">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AC1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01F73">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D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r>
      <w:tr w14:paraId="4D18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ED8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B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封板膜</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A24F5">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DE2A">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1F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BE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2.71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71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346EB">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3C31D">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F97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4EBC2">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64BB">
            <w:pPr>
              <w:keepNext w:val="0"/>
              <w:keepLines w:val="0"/>
              <w:widowControl/>
              <w:suppressLineNumbers w:val="0"/>
              <w:jc w:val="left"/>
              <w:textAlignment w:val="center"/>
              <w:rPr>
                <w:rFonts w:hint="default" w:ascii="宋体" w:hAnsi="宋体" w:eastAsia="宋体" w:cs="宋体"/>
                <w:i w:val="0"/>
                <w:iCs w:val="0"/>
                <w:color w:val="FF0000"/>
                <w:sz w:val="22"/>
                <w:szCs w:val="22"/>
                <w:u w:val="none"/>
                <w:lang w:val="en-US"/>
              </w:rPr>
            </w:pPr>
            <w:r>
              <w:rPr>
                <w:rFonts w:hint="eastAsia" w:ascii="宋体" w:hAnsi="宋体" w:eastAsia="宋体" w:cs="宋体"/>
                <w:i w:val="0"/>
                <w:iCs w:val="0"/>
                <w:color w:val="000000"/>
                <w:kern w:val="0"/>
                <w:sz w:val="22"/>
                <w:szCs w:val="22"/>
                <w:u w:val="none"/>
                <w:lang w:val="en-US" w:eastAsia="zh-CN" w:bidi="ar"/>
              </w:rPr>
              <w:t>通用，96孔带字、96孔透明等</w:t>
            </w:r>
          </w:p>
        </w:tc>
      </w:tr>
      <w:tr w14:paraId="5C26B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4082"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3BF2AE72">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                                                                                                                                                                        1.参与供货商需按照求填写此表，不得改动表内内容，规格型号、生产企业、下浮率、投标单价、供货单价均为必填项目。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型号按照供货单位来填写，不得更改供货单位，投标单价=预算单价*（1-下浮率%），供货单价（按照供货单价计算）=投标单价*规格型号，例如：投标人下浮率为10%，测序反应通用试剂盒规格型号为：各型基因，25反应/盒，则测序反应通用试剂盒的投标单价=48*（1-10%）=43.20元/反应,供货单价=43.20*25=1080元/盒；核酸清除剂规格型号为：500ml/瓶，则核酸清除剂的投标单价=0.39*（1-10%）=0.351元/ml，供货单价=0.351*500ml=175.50元/瓶；以此类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3、以上13种试剂耗材的下浮率须统一，供货单价小数点后统一保留两位数。                                                                                                          4、采购人提供试剂耗材报价表中预估采购数量（按预算单位统计）仅根据科室现有标本量统计或推算，仅供投标人参考，具体采购数量以今后实际采购数量为准。                                                                            </w:t>
            </w:r>
          </w:p>
          <w:p w14:paraId="4D24B49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采购周期：两年，合同一年一签。在签订第二年合同前，双方须就供货单价重新进行协商谈判，且新签订的供货单价不得高于上一年度供货单价。若在合同履行期间出现上级政策调整（如集采政策发布等情况），则以最新上级政策规定为准，优先遵照执行。</w:t>
            </w:r>
          </w:p>
        </w:tc>
      </w:tr>
    </w:tbl>
    <w:p w14:paraId="54F3CA03">
      <w:pPr>
        <w:ind w:firstLine="640" w:firstLineChars="200"/>
        <w:rPr>
          <w:rFonts w:hint="default" w:ascii="Times New Roman" w:hAnsi="Times New Roman" w:cs="Times New Roman"/>
          <w:lang w:val="en-US" w:eastAsia="zh-CN"/>
        </w:rPr>
      </w:pPr>
    </w:p>
    <w:p w14:paraId="3763D8C9">
      <w:pPr>
        <w:ind w:firstLine="640" w:firstLineChars="200"/>
        <w:rPr>
          <w:rFonts w:hint="default" w:ascii="Times New Roman" w:hAnsi="Times New Roman" w:cs="Times New Roman"/>
          <w:lang w:val="en-US" w:eastAsia="zh-CN"/>
        </w:rPr>
      </w:pPr>
    </w:p>
    <w:p w14:paraId="36C491FC">
      <w:pPr>
        <w:rPr>
          <w:rFonts w:hint="default" w:ascii="Times New Roman" w:hAnsi="Times New Roman" w:cs="Times New Roman"/>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6607A823">
      <w:pPr>
        <w:keepNext w:val="0"/>
        <w:keepLines w:val="0"/>
        <w:pageBreakBefore w:val="0"/>
        <w:widowControl w:val="0"/>
        <w:numPr>
          <w:ilvl w:val="0"/>
          <w:numId w:val="8"/>
        </w:numPr>
        <w:kinsoku/>
        <w:wordWrap/>
        <w:overflowPunct/>
        <w:topLinePunct w:val="0"/>
        <w:autoSpaceDE/>
        <w:autoSpaceDN/>
        <w:bidi w:val="0"/>
        <w:adjustRightInd/>
        <w:snapToGrid/>
        <w:spacing w:line="460" w:lineRule="exact"/>
        <w:jc w:val="center"/>
        <w:textAlignment w:val="auto"/>
        <w:outlineLvl w:val="0"/>
        <w:rPr>
          <w:rStyle w:val="23"/>
          <w:rFonts w:hint="default" w:ascii="Times New Roman" w:hAnsi="Times New Roman" w:eastAsia="方正小标宋_GBK" w:cs="Times New Roman"/>
          <w:sz w:val="44"/>
          <w:szCs w:val="44"/>
          <w:lang w:val="en-US" w:eastAsia="zh-CN"/>
        </w:rPr>
      </w:pPr>
      <w:bookmarkStart w:id="174" w:name="_Toc26863"/>
      <w:r>
        <w:rPr>
          <w:rStyle w:val="23"/>
          <w:rFonts w:hint="default" w:ascii="Times New Roman" w:hAnsi="Times New Roman" w:eastAsia="方正小标宋_GBK" w:cs="Times New Roman"/>
          <w:sz w:val="44"/>
          <w:szCs w:val="44"/>
          <w:lang w:val="en-US" w:eastAsia="zh-CN"/>
        </w:rPr>
        <w:t>评审办法</w:t>
      </w:r>
      <w:bookmarkEnd w:id="174"/>
    </w:p>
    <w:p w14:paraId="762AC053">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0"/>
        <w:rPr>
          <w:rStyle w:val="23"/>
          <w:rFonts w:hint="default" w:ascii="Times New Roman" w:hAnsi="Times New Roman" w:eastAsia="方正小标宋_GBK" w:cs="Times New Roman"/>
          <w:sz w:val="44"/>
          <w:szCs w:val="44"/>
          <w:lang w:val="en-US" w:eastAsia="zh-CN"/>
        </w:rPr>
      </w:pPr>
    </w:p>
    <w:p w14:paraId="6E0632EE">
      <w:pPr>
        <w:pStyle w:val="4"/>
        <w:bidi w:val="0"/>
        <w:rPr>
          <w:rFonts w:hint="default" w:ascii="Times New Roman" w:hAnsi="Times New Roman" w:cs="Times New Roman"/>
          <w:color w:val="000000" w:themeColor="text1"/>
          <w:szCs w:val="21"/>
          <w14:textFill>
            <w14:solidFill>
              <w14:schemeClr w14:val="tx1"/>
            </w14:solidFill>
          </w14:textFill>
        </w:rPr>
      </w:pPr>
      <w:bookmarkStart w:id="175" w:name="_Toc17150"/>
      <w:bookmarkStart w:id="176" w:name="_Toc15281"/>
      <w:r>
        <w:rPr>
          <w:rFonts w:hint="default" w:ascii="Times New Roman" w:hAnsi="Times New Roman" w:cs="Times New Roman"/>
          <w:lang w:val="en-US" w:eastAsia="zh-CN"/>
        </w:rPr>
        <w:t>一、</w:t>
      </w:r>
      <w:r>
        <w:rPr>
          <w:rFonts w:hint="default" w:ascii="Times New Roman" w:hAnsi="Times New Roman" w:cs="Times New Roman"/>
        </w:rPr>
        <w:t>资格审查</w:t>
      </w:r>
      <w:bookmarkEnd w:id="175"/>
      <w:bookmarkEnd w:id="176"/>
    </w:p>
    <w:tbl>
      <w:tblPr>
        <w:tblStyle w:val="15"/>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60"/>
        <w:gridCol w:w="8522"/>
      </w:tblGrid>
      <w:tr w14:paraId="1F22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955" w:type="dxa"/>
            <w:noWrap/>
            <w:vAlign w:val="center"/>
          </w:tcPr>
          <w:p w14:paraId="1C747682">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9082" w:type="dxa"/>
            <w:gridSpan w:val="2"/>
            <w:noWrap/>
            <w:vAlign w:val="center"/>
          </w:tcPr>
          <w:p w14:paraId="6C703E65">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 及 标 准</w:t>
            </w:r>
          </w:p>
        </w:tc>
      </w:tr>
      <w:tr w14:paraId="7C11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955" w:type="dxa"/>
            <w:vMerge w:val="restart"/>
            <w:noWrap/>
            <w:vAlign w:val="center"/>
          </w:tcPr>
          <w:p w14:paraId="607A37F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资格评审标准</w:t>
            </w:r>
          </w:p>
        </w:tc>
        <w:tc>
          <w:tcPr>
            <w:tcW w:w="560" w:type="dxa"/>
            <w:noWrap/>
            <w:vAlign w:val="center"/>
          </w:tcPr>
          <w:p w14:paraId="2530E73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p>
        </w:tc>
        <w:tc>
          <w:tcPr>
            <w:tcW w:w="8522" w:type="dxa"/>
            <w:noWrap/>
            <w:vAlign w:val="center"/>
          </w:tcPr>
          <w:p w14:paraId="192FCBD9">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eastAsia="方正仿宋_GBK" w:cs="Times New Roman"/>
                <w:b/>
                <w:color w:val="000000" w:themeColor="text1"/>
                <w:sz w:val="32"/>
                <w:szCs w:val="32"/>
                <w:lang w:val="en-US"/>
                <w14:textFill>
                  <w14:solidFill>
                    <w14:schemeClr w14:val="tx1"/>
                  </w14:solidFill>
                </w14:textFill>
              </w:rPr>
            </w:pPr>
            <w:r>
              <w:rPr>
                <w:rFonts w:hint="default" w:ascii="Times New Roman" w:hAnsi="Times New Roman" w:eastAsia="方正仿宋_GBK" w:cs="Times New Roman"/>
                <w:b w:val="0"/>
                <w:bCs w:val="0"/>
                <w:color w:val="auto"/>
                <w:kern w:val="2"/>
                <w:sz w:val="32"/>
                <w:szCs w:val="32"/>
                <w:u w:val="none" w:color="auto"/>
                <w:lang w:val="en-US" w:eastAsia="zh-CN" w:bidi="ar-SA"/>
              </w:rPr>
              <w:t>提供营业执照扫描件并加盖公章</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12-1要求</w:t>
            </w:r>
          </w:p>
        </w:tc>
      </w:tr>
      <w:tr w14:paraId="72CF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955" w:type="dxa"/>
            <w:vMerge w:val="continue"/>
            <w:noWrap/>
            <w:vAlign w:val="center"/>
          </w:tcPr>
          <w:p w14:paraId="6D1513B4">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75320B9C">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2</w:t>
            </w:r>
          </w:p>
        </w:tc>
        <w:tc>
          <w:tcPr>
            <w:tcW w:w="8522" w:type="dxa"/>
            <w:noWrap/>
            <w:vAlign w:val="center"/>
          </w:tcPr>
          <w:p w14:paraId="1B638A1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有依法缴纳税收的良好记录</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要求</w:t>
            </w:r>
          </w:p>
        </w:tc>
      </w:tr>
      <w:tr w14:paraId="49B2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14:paraId="042A712E">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1CFB0C8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3</w:t>
            </w:r>
          </w:p>
        </w:tc>
        <w:tc>
          <w:tcPr>
            <w:tcW w:w="8522" w:type="dxa"/>
            <w:noWrap/>
            <w:vAlign w:val="center"/>
          </w:tcPr>
          <w:p w14:paraId="1DFBCD79">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有依法缴纳社会保障资金的良好记录。详见格式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w:t>
            </w:r>
            <w:r>
              <w:rPr>
                <w:rFonts w:hint="default" w:ascii="Times New Roman" w:hAnsi="Times New Roman" w:cs="Times New Roman"/>
                <w:b w:val="0"/>
                <w:bCs w:val="0"/>
                <w:color w:val="auto"/>
                <w:kern w:val="2"/>
                <w:sz w:val="32"/>
                <w:szCs w:val="32"/>
                <w:u w:val="non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要求</w:t>
            </w:r>
          </w:p>
        </w:tc>
      </w:tr>
      <w:tr w14:paraId="733A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14:paraId="0AF1304F">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6E57801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4</w:t>
            </w:r>
          </w:p>
        </w:tc>
        <w:tc>
          <w:tcPr>
            <w:tcW w:w="8522" w:type="dxa"/>
            <w:noWrap/>
            <w:vAlign w:val="center"/>
          </w:tcPr>
          <w:p w14:paraId="330A5B00">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特定资格要求。详见格式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要求</w:t>
            </w:r>
          </w:p>
        </w:tc>
      </w:tr>
      <w:tr w14:paraId="08AD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14:paraId="452267C2">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5BB4C5D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5</w:t>
            </w:r>
          </w:p>
        </w:tc>
        <w:tc>
          <w:tcPr>
            <w:tcW w:w="8522" w:type="dxa"/>
            <w:noWrap/>
            <w:vAlign w:val="center"/>
          </w:tcPr>
          <w:p w14:paraId="76CB3D41">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信誉要求</w:t>
            </w:r>
            <w:r>
              <w:rPr>
                <w:rFonts w:hint="default" w:ascii="Times New Roman" w:hAnsi="Times New Roman" w:eastAsia="方正仿宋_GBK" w:cs="Times New Roman"/>
                <w:b w:val="0"/>
                <w:bCs w:val="0"/>
                <w:color w:val="auto"/>
                <w:kern w:val="2"/>
                <w:sz w:val="32"/>
                <w:szCs w:val="32"/>
                <w:u w:val="none" w:color="auto"/>
                <w:lang w:val="en-US" w:eastAsia="zh-CN" w:bidi="ar-SA"/>
              </w:rPr>
              <w:t>。详见格式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w:t>
            </w:r>
            <w:r>
              <w:rPr>
                <w:rFonts w:hint="default"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要求</w:t>
            </w:r>
          </w:p>
        </w:tc>
      </w:tr>
      <w:tr w14:paraId="6467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14:paraId="5AA9C07F">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3C76583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6</w:t>
            </w:r>
          </w:p>
        </w:tc>
        <w:tc>
          <w:tcPr>
            <w:tcW w:w="8522" w:type="dxa"/>
            <w:noWrap/>
            <w:vAlign w:val="center"/>
          </w:tcPr>
          <w:p w14:paraId="20CF61A0">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提供参加政府采购活动前三年内在经营活动中没有重大违法记录的书面声明函即可（格式自拟）</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12-6要求</w:t>
            </w:r>
          </w:p>
        </w:tc>
      </w:tr>
      <w:tr w14:paraId="7990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14:paraId="41E3EA7E">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31714014">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7</w:t>
            </w:r>
          </w:p>
        </w:tc>
        <w:tc>
          <w:tcPr>
            <w:tcW w:w="8522" w:type="dxa"/>
            <w:noWrap/>
            <w:vAlign w:val="center"/>
          </w:tcPr>
          <w:p w14:paraId="0134DBFB">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单位负责人为同一人或者存在控股、管理关系的不同单位，不得同时参加同一合同项下的采购活动</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提供“证明材料或书面声明函</w:t>
            </w:r>
            <w:r>
              <w:rPr>
                <w:rFonts w:hint="default" w:ascii="Times New Roman" w:hAnsi="Times New Roman" w:cs="Times New Roman"/>
                <w:b w:val="0"/>
                <w:bCs w:val="0"/>
                <w:color w:val="auto"/>
                <w:kern w:val="2"/>
                <w:sz w:val="32"/>
                <w:szCs w:val="32"/>
                <w:u w:val="none" w:color="auto"/>
                <w:lang w:val="en-US" w:eastAsia="zh-CN" w:bidi="ar-SA"/>
              </w:rPr>
              <w:t>即可</w:t>
            </w:r>
            <w:r>
              <w:rPr>
                <w:rFonts w:hint="default" w:ascii="Times New Roman" w:hAnsi="Times New Roman" w:eastAsia="方正仿宋_GBK" w:cs="Times New Roman"/>
                <w:b w:val="0"/>
                <w:bCs w:val="0"/>
                <w:color w:val="auto"/>
                <w:kern w:val="2"/>
                <w:sz w:val="32"/>
                <w:szCs w:val="32"/>
                <w:u w:val="none" w:color="auto"/>
                <w:lang w:val="en-US" w:eastAsia="zh-CN" w:bidi="ar-SA"/>
              </w:rPr>
              <w:t>（格式自拟）详见格式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w:t>
            </w:r>
            <w:r>
              <w:rPr>
                <w:rFonts w:hint="default" w:ascii="Times New Roman" w:hAnsi="Times New Roman" w:cs="Times New Roman"/>
                <w:b w:val="0"/>
                <w:bCs w:val="0"/>
                <w:color w:val="auto"/>
                <w:kern w:val="2"/>
                <w:sz w:val="32"/>
                <w:szCs w:val="32"/>
                <w:u w:val="non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要求</w:t>
            </w:r>
          </w:p>
        </w:tc>
      </w:tr>
      <w:tr w14:paraId="3FEA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55" w:type="dxa"/>
            <w:vMerge w:val="continue"/>
            <w:noWrap/>
            <w:vAlign w:val="center"/>
          </w:tcPr>
          <w:p w14:paraId="155DB38D">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9082" w:type="dxa"/>
            <w:gridSpan w:val="2"/>
            <w:noWrap/>
            <w:vAlign w:val="center"/>
          </w:tcPr>
          <w:p w14:paraId="0C124AD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3"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注：</w:t>
            </w:r>
            <w:r>
              <w:rPr>
                <w:rFonts w:hint="default" w:ascii="Times New Roman" w:hAnsi="Times New Roman" w:cs="Times New Roman"/>
                <w:b/>
                <w:bCs/>
                <w:color w:val="auto"/>
                <w:kern w:val="2"/>
                <w:sz w:val="32"/>
                <w:szCs w:val="32"/>
                <w:u w:val="none" w:color="auto"/>
                <w:lang w:val="en-US" w:eastAsia="zh-CN" w:bidi="ar-SA"/>
              </w:rPr>
              <w:t>供应商未按资格要求提供材料</w:t>
            </w:r>
            <w:r>
              <w:rPr>
                <w:rFonts w:hint="default" w:ascii="Times New Roman" w:hAnsi="Times New Roman" w:eastAsia="方正仿宋_GBK" w:cs="Times New Roman"/>
                <w:b/>
                <w:bCs/>
                <w:color w:val="auto"/>
                <w:kern w:val="2"/>
                <w:sz w:val="32"/>
                <w:szCs w:val="32"/>
                <w:u w:val="none" w:color="auto"/>
                <w:lang w:val="en-US" w:eastAsia="zh-CN" w:bidi="ar-SA"/>
              </w:rPr>
              <w:t>的视为资格不通过。</w:t>
            </w:r>
            <w:r>
              <w:rPr>
                <w:rFonts w:hint="default" w:ascii="Times New Roman" w:hAnsi="Times New Roman" w:cs="Times New Roman"/>
                <w:b/>
                <w:bCs/>
                <w:color w:val="auto"/>
                <w:kern w:val="2"/>
                <w:sz w:val="32"/>
                <w:szCs w:val="32"/>
                <w:u w:val="none" w:color="auto"/>
                <w:lang w:val="en-US" w:eastAsia="zh-CN" w:bidi="ar-SA"/>
              </w:rPr>
              <w:t>投标人</w:t>
            </w:r>
            <w:r>
              <w:rPr>
                <w:rFonts w:hint="default" w:ascii="Times New Roman" w:hAnsi="Times New Roman" w:eastAsia="方正仿宋_GBK" w:cs="Times New Roman"/>
                <w:b/>
                <w:bCs/>
                <w:color w:val="auto"/>
                <w:kern w:val="2"/>
                <w:sz w:val="32"/>
                <w:szCs w:val="32"/>
                <w:u w:val="none" w:color="auto"/>
                <w:lang w:val="en-US" w:eastAsia="zh-CN" w:bidi="ar-SA"/>
              </w:rPr>
              <w:t>为了满足以上条件虚报材料，一经查实，该询价响应文件将作为无效标处理。</w:t>
            </w:r>
          </w:p>
        </w:tc>
      </w:tr>
    </w:tbl>
    <w:p w14:paraId="3FE40A10">
      <w:pPr>
        <w:rPr>
          <w:rFonts w:hint="default" w:ascii="Times New Roman" w:hAnsi="Times New Roman" w:eastAsia="方正仿宋_GBK" w:cs="Times New Roman"/>
          <w:color w:val="000000" w:themeColor="text1"/>
          <w:sz w:val="32"/>
          <w:szCs w:val="32"/>
          <w14:textFill>
            <w14:solidFill>
              <w14:schemeClr w14:val="tx1"/>
            </w14:solidFill>
          </w14:textFill>
        </w:rPr>
      </w:pPr>
    </w:p>
    <w:p w14:paraId="48130BBD">
      <w:pPr>
        <w:pStyle w:val="4"/>
        <w:bidi w:val="0"/>
        <w:rPr>
          <w:rFonts w:hint="default" w:ascii="Times New Roman" w:hAnsi="Times New Roman" w:cs="Times New Roman"/>
        </w:rPr>
      </w:pPr>
      <w:bookmarkStart w:id="177" w:name="_Toc19865"/>
      <w:bookmarkStart w:id="178" w:name="_Toc5382"/>
      <w:r>
        <w:rPr>
          <w:rFonts w:hint="default" w:ascii="Times New Roman" w:hAnsi="Times New Roman" w:cs="Times New Roman"/>
          <w:lang w:val="en-US" w:eastAsia="zh-CN"/>
        </w:rPr>
        <w:t>二、</w:t>
      </w:r>
      <w:r>
        <w:rPr>
          <w:rFonts w:hint="default" w:ascii="Times New Roman" w:hAnsi="Times New Roman" w:cs="Times New Roman"/>
        </w:rPr>
        <w:t>符合性评审</w:t>
      </w:r>
      <w:bookmarkEnd w:id="177"/>
      <w:bookmarkEnd w:id="178"/>
    </w:p>
    <w:tbl>
      <w:tblPr>
        <w:tblStyle w:val="15"/>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269"/>
        <w:gridCol w:w="6234"/>
      </w:tblGrid>
      <w:tr w14:paraId="6E17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blHeader/>
        </w:trPr>
        <w:tc>
          <w:tcPr>
            <w:tcW w:w="1179" w:type="dxa"/>
            <w:vAlign w:val="center"/>
          </w:tcPr>
          <w:p w14:paraId="23C3F850">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2269" w:type="dxa"/>
            <w:vAlign w:val="center"/>
          </w:tcPr>
          <w:p w14:paraId="4EF6CBBA">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w:t>
            </w:r>
          </w:p>
        </w:tc>
        <w:tc>
          <w:tcPr>
            <w:tcW w:w="6234" w:type="dxa"/>
            <w:vAlign w:val="center"/>
          </w:tcPr>
          <w:p w14:paraId="0EC1BE1A">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标 准</w:t>
            </w:r>
          </w:p>
        </w:tc>
      </w:tr>
      <w:tr w14:paraId="5CBA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79" w:type="dxa"/>
            <w:vMerge w:val="restart"/>
            <w:vAlign w:val="center"/>
          </w:tcPr>
          <w:p w14:paraId="00351097">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符合性审查标准</w:t>
            </w:r>
          </w:p>
        </w:tc>
        <w:tc>
          <w:tcPr>
            <w:tcW w:w="2269" w:type="dxa"/>
            <w:vAlign w:val="center"/>
          </w:tcPr>
          <w:p w14:paraId="1FDD70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p>
        </w:tc>
        <w:tc>
          <w:tcPr>
            <w:tcW w:w="6234" w:type="dxa"/>
            <w:vAlign w:val="center"/>
          </w:tcPr>
          <w:p w14:paraId="2ED6C8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23CF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79" w:type="dxa"/>
            <w:vMerge w:val="continue"/>
            <w:vAlign w:val="center"/>
          </w:tcPr>
          <w:p w14:paraId="02426311">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14:paraId="3FF69C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p>
        </w:tc>
        <w:tc>
          <w:tcPr>
            <w:tcW w:w="6234" w:type="dxa"/>
            <w:vAlign w:val="center"/>
          </w:tcPr>
          <w:p w14:paraId="607326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45E4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179" w:type="dxa"/>
            <w:vMerge w:val="continue"/>
            <w:vAlign w:val="center"/>
          </w:tcPr>
          <w:p w14:paraId="190A4528">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14:paraId="72AEB62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投标报价</w:t>
            </w:r>
          </w:p>
        </w:tc>
        <w:tc>
          <w:tcPr>
            <w:tcW w:w="6234" w:type="dxa"/>
            <w:vAlign w:val="center"/>
          </w:tcPr>
          <w:p w14:paraId="49B5748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报价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完整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14:textFill>
                  <w14:solidFill>
                    <w14:schemeClr w14:val="tx1"/>
                  </w14:solidFill>
                </w14:textFill>
              </w:rPr>
              <w:t>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多</w:t>
            </w:r>
            <w:r>
              <w:rPr>
                <w:rFonts w:hint="default" w:ascii="Times New Roman" w:hAnsi="Times New Roman" w:eastAsia="方正仿宋_GBK" w:cs="Times New Roman"/>
                <w:color w:val="000000" w:themeColor="text1"/>
                <w:sz w:val="32"/>
                <w:szCs w:val="32"/>
                <w14:textFill>
                  <w14:solidFill>
                    <w14:schemeClr w14:val="tx1"/>
                  </w14:solidFill>
                </w14:textFill>
              </w:rPr>
              <w:t>个报价方案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31AD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1179" w:type="dxa"/>
            <w:vMerge w:val="continue"/>
            <w:vAlign w:val="center"/>
          </w:tcPr>
          <w:p w14:paraId="1B6B5C5E">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14:paraId="0B4E3DF5">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r>
              <w:rPr>
                <w:rFonts w:hint="default" w:ascii="Times New Roman" w:hAnsi="Times New Roman" w:cs="Times New Roman"/>
                <w:color w:val="000000" w:themeColor="text1"/>
                <w:sz w:val="32"/>
                <w:szCs w:val="32"/>
                <w:lang w:val="en-US" w:eastAsia="zh-CN"/>
                <w14:textFill>
                  <w14:solidFill>
                    <w14:schemeClr w14:val="tx1"/>
                  </w14:solidFill>
                </w14:textFill>
              </w:rPr>
              <w:t>情形</w:t>
            </w:r>
          </w:p>
        </w:tc>
        <w:tc>
          <w:tcPr>
            <w:tcW w:w="6234" w:type="dxa"/>
            <w:vAlign w:val="center"/>
          </w:tcPr>
          <w:p w14:paraId="71802F92">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详见</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第二章“供应商须知前附表” 第</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22</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项规定</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的内容</w:t>
            </w:r>
          </w:p>
        </w:tc>
      </w:tr>
      <w:tr w14:paraId="1C2A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1179" w:type="dxa"/>
            <w:vMerge w:val="continue"/>
            <w:vAlign w:val="center"/>
          </w:tcPr>
          <w:p w14:paraId="4ECA6273">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14:paraId="2F61DF94">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tc>
        <w:tc>
          <w:tcPr>
            <w:tcW w:w="6234" w:type="dxa"/>
            <w:vAlign w:val="center"/>
          </w:tcPr>
          <w:p w14:paraId="79160F7C">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符合第四章“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响应文件格式”中规定的要求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0CE8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79" w:type="dxa"/>
            <w:vMerge w:val="continue"/>
            <w:vAlign w:val="center"/>
          </w:tcPr>
          <w:p w14:paraId="1FD087AB">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restart"/>
            <w:vAlign w:val="center"/>
          </w:tcPr>
          <w:p w14:paraId="7E40667E">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其它实质性条件</w:t>
            </w:r>
          </w:p>
        </w:tc>
        <w:tc>
          <w:tcPr>
            <w:tcW w:w="6234" w:type="dxa"/>
            <w:vAlign w:val="center"/>
          </w:tcPr>
          <w:p w14:paraId="02ECA3A3">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关键内容字迹潦草、表达不清、未按要求填写而导致非唯一理解的，无盖章并无法定代表人或其委托代理人签字或盖章的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0F0D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exact"/>
        </w:trPr>
        <w:tc>
          <w:tcPr>
            <w:tcW w:w="1179" w:type="dxa"/>
            <w:vMerge w:val="continue"/>
            <w:vAlign w:val="center"/>
          </w:tcPr>
          <w:p w14:paraId="3B6B5B6D">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14:paraId="2E1B1D40">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14:paraId="36C731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响应文件如果出现计算或表达上的错误，供应商不接受按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第六章《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w:t>
            </w:r>
            <w:r>
              <w:rPr>
                <w:rFonts w:hint="default" w:ascii="Times New Roman" w:hAnsi="Times New Roman" w:cs="Times New Roman"/>
                <w:color w:val="000000" w:themeColor="text1"/>
                <w:sz w:val="32"/>
                <w:szCs w:val="32"/>
                <w:lang w:val="en-US" w:eastAsia="zh-CN"/>
                <w14:textFill>
                  <w14:solidFill>
                    <w14:schemeClr w14:val="tx1"/>
                  </w14:solidFill>
                </w14:textFill>
              </w:rPr>
              <w:t>审办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法</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14:textFill>
                  <w14:solidFill>
                    <w14:schemeClr w14:val="tx1"/>
                  </w14:solidFill>
                </w14:textFill>
              </w:rPr>
              <w:t>详细评审</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第1条款规定的原则进行修正的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6C2C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1179" w:type="dxa"/>
            <w:vMerge w:val="continue"/>
            <w:vAlign w:val="center"/>
          </w:tcPr>
          <w:p w14:paraId="16C4ED2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14:paraId="09217B86">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14:paraId="79518D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17种携带样品不符合</w:t>
            </w:r>
            <w:r>
              <w:rPr>
                <w:rFonts w:hint="eastAsia" w:ascii="Times New Roman" w:hAnsi="Times New Roman" w:cs="Times New Roman"/>
                <w:color w:val="000000" w:themeColor="text1"/>
                <w:sz w:val="32"/>
                <w:szCs w:val="32"/>
                <w:lang w:val="en-US" w:eastAsia="zh-CN"/>
                <w14:textFill>
                  <w14:solidFill>
                    <w14:schemeClr w14:val="tx1"/>
                  </w14:solidFill>
                </w14:textFill>
              </w:rPr>
              <w:t>质量</w:t>
            </w:r>
            <w:r>
              <w:rPr>
                <w:rFonts w:hint="default" w:ascii="Times New Roman" w:hAnsi="Times New Roman" w:cs="Times New Roman"/>
                <w:color w:val="000000" w:themeColor="text1"/>
                <w:sz w:val="32"/>
                <w:szCs w:val="32"/>
                <w:lang w:val="en-US" w:eastAsia="zh-CN"/>
                <w14:textFill>
                  <w14:solidFill>
                    <w14:schemeClr w14:val="tx1"/>
                  </w14:solidFill>
                </w14:textFill>
              </w:rPr>
              <w:t>要求的</w:t>
            </w:r>
            <w:r>
              <w:rPr>
                <w:rFonts w:hint="default" w:ascii="Times New Roman" w:hAnsi="Times New Roman" w:eastAsia="方正仿宋_GBK" w:cs="Times New Roman"/>
                <w:color w:val="000000" w:themeColor="text1"/>
                <w:sz w:val="32"/>
                <w:szCs w:val="32"/>
                <w14:textFill>
                  <w14:solidFill>
                    <w14:schemeClr w14:val="tx1"/>
                  </w14:solidFill>
                </w14:textFill>
              </w:rPr>
              <w:t>。</w:t>
            </w:r>
          </w:p>
        </w:tc>
      </w:tr>
      <w:tr w14:paraId="7FBF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79" w:type="dxa"/>
            <w:vMerge w:val="continue"/>
            <w:vAlign w:val="center"/>
          </w:tcPr>
          <w:p w14:paraId="54998F9D">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14:paraId="26B756A7">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14:paraId="3B0DD4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投标文件含有采购人不能接受的附加条件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bl>
    <w:p w14:paraId="5BE5C79C">
      <w:pPr>
        <w:pStyle w:val="4"/>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方正仿宋_GBK" w:cs="Times New Roman"/>
          <w:sz w:val="32"/>
          <w:szCs w:val="32"/>
        </w:rPr>
      </w:pPr>
      <w:bookmarkStart w:id="179" w:name="_Toc29119"/>
    </w:p>
    <w:p w14:paraId="0F6A0A04">
      <w:pPr>
        <w:pStyle w:val="4"/>
        <w:bidi w:val="0"/>
        <w:ind w:firstLine="643" w:firstLineChars="200"/>
        <w:rPr>
          <w:rFonts w:hint="default" w:ascii="Times New Roman" w:hAnsi="Times New Roman" w:cs="Times New Roman"/>
        </w:rPr>
      </w:pPr>
      <w:bookmarkStart w:id="180" w:name="_Toc18914"/>
      <w:r>
        <w:rPr>
          <w:rFonts w:hint="default" w:ascii="Times New Roman" w:hAnsi="Times New Roman" w:cs="Times New Roman"/>
          <w:lang w:val="en-US" w:eastAsia="zh-CN"/>
        </w:rPr>
        <w:t>三、</w:t>
      </w:r>
      <w:r>
        <w:rPr>
          <w:rFonts w:hint="default" w:ascii="Times New Roman" w:hAnsi="Times New Roman" w:cs="Times New Roman"/>
        </w:rPr>
        <w:t>详细评审</w:t>
      </w:r>
      <w:bookmarkEnd w:id="179"/>
      <w:bookmarkEnd w:id="180"/>
    </w:p>
    <w:p w14:paraId="6D06E514">
      <w:pPr>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1.</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响应文件的修正</w:t>
      </w:r>
    </w:p>
    <w:p w14:paraId="7FE830F7">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小组</w:t>
      </w:r>
      <w:r>
        <w:rPr>
          <w:rFonts w:hint="default" w:ascii="Times New Roman" w:hAnsi="Times New Roman" w:eastAsia="方正仿宋_GBK" w:cs="Times New Roman"/>
          <w:color w:val="000000" w:themeColor="text1"/>
          <w:sz w:val="32"/>
          <w:szCs w:val="32"/>
          <w14:textFill>
            <w14:solidFill>
              <w14:schemeClr w14:val="tx1"/>
            </w14:solidFill>
          </w14:textFill>
        </w:rPr>
        <w:t>将对确定为实质上响应的投标进行审核，看其是否有计算上和累加上的算术错误，修正错误的原则如下：</w:t>
      </w:r>
    </w:p>
    <w:p w14:paraId="01B8FDF3">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(1)投标文件中《开标一览表》内容与投标文件中相应内容不一致的，以《开标一览表》为准</w:t>
      </w:r>
      <w:r>
        <w:rPr>
          <w:rFonts w:hint="default" w:ascii="Times New Roman" w:hAnsi="Times New Roman" w:cs="Times New Roman"/>
          <w:color w:val="000000" w:themeColor="text1"/>
          <w:sz w:val="32"/>
          <w:szCs w:val="32"/>
          <w:lang w:val="en-US" w:eastAsia="zh-CN"/>
          <w14:textFill>
            <w14:solidFill>
              <w14:schemeClr w14:val="tx1"/>
            </w14:solidFill>
          </w14:textFill>
        </w:rPr>
        <w:t>。</w:t>
      </w:r>
    </w:p>
    <w:p w14:paraId="5C28F845">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)如果用数字表示的金额和用文字表示的金额不一致，应以文字表示的金额为准。</w:t>
      </w:r>
    </w:p>
    <w:p w14:paraId="7E374AA2">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(3)当单价与数量的乘积和总价不一致时，以单价为准，并修正总价。</w:t>
      </w:r>
    </w:p>
    <w:p w14:paraId="57CD3E1A">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(4)大写金额和小写金额不一致的，以大写金额为准。</w:t>
      </w:r>
    </w:p>
    <w:p w14:paraId="4A3608FB">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(5)单价金额小数点或者百分比有明显错位的，以开标一览表的总价为准，并修改单价。</w:t>
      </w:r>
    </w:p>
    <w:p w14:paraId="516D8F3E">
      <w:pPr>
        <w:pStyle w:val="2"/>
        <w:keepNext w:val="0"/>
        <w:keepLines w:val="0"/>
        <w:pageBreakBefore w:val="0"/>
        <w:widowControl w:val="0"/>
        <w:kinsoku/>
        <w:wordWrap/>
        <w:overflowPunct/>
        <w:topLinePunct w:val="0"/>
        <w:autoSpaceDE/>
        <w:autoSpaceDN/>
        <w:bidi w:val="0"/>
        <w:adjustRightInd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同时出现两种以上不一致的，按照前款规定的顺序修正。修正后的报价经投标人确认后产生约束力，投标人不确认的，其投标无效。</w:t>
      </w:r>
    </w:p>
    <w:p w14:paraId="0878A368">
      <w:pPr>
        <w:pStyle w:val="2"/>
        <w:pageBreakBefore w:val="0"/>
        <w:widowControl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1.2.评委将按上述修正错误的方法调整投标书中的投标报价，调整后的价格应对供应商具有约束力。如果供应商不接受修正后的价格，则其投标将被拒绝。</w:t>
      </w:r>
    </w:p>
    <w:p w14:paraId="007781B0">
      <w:pPr>
        <w:pageBreakBefore w:val="0"/>
        <w:widowControl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2.询价程序</w:t>
      </w:r>
    </w:p>
    <w:p w14:paraId="08BB553D">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响应文件进行评审。评标按：资格审查→符合性评审→详细评审→</w:t>
      </w:r>
      <w:r>
        <w:rPr>
          <w:rFonts w:hint="default"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评标报告的程序进行。</w:t>
      </w:r>
    </w:p>
    <w:p w14:paraId="01CC203A">
      <w:pPr>
        <w:pageBreakBefore w:val="0"/>
        <w:widowControl w:val="0"/>
        <w:numPr>
          <w:ilvl w:val="0"/>
          <w:numId w:val="0"/>
        </w:numPr>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3.询价内容</w:t>
      </w:r>
    </w:p>
    <w:p w14:paraId="607E954B">
      <w:pPr>
        <w:pStyle w:val="2"/>
        <w:pageBreakBefore w:val="0"/>
        <w:widowControl w:val="0"/>
        <w:numPr>
          <w:ilvl w:val="0"/>
          <w:numId w:val="0"/>
        </w:numPr>
        <w:kinsoku/>
        <w:wordWrap/>
        <w:overflowPunct/>
        <w:topLinePunct w:val="0"/>
        <w:autoSpaceDE/>
        <w:autoSpaceDN/>
        <w:bidi w:val="0"/>
        <w:snapToGrid/>
        <w:spacing w:line="460" w:lineRule="exact"/>
        <w:ind w:firstLine="480"/>
        <w:textAlignment w:val="auto"/>
        <w:rPr>
          <w:rFonts w:hint="default" w:ascii="Times New Roman" w:hAnsi="Times New Roman" w:eastAsia="方正仿宋_GBK" w:cs="Times New Roman"/>
          <w:sz w:val="32"/>
          <w:szCs w:val="32"/>
          <w:lang w:val="en-US" w:eastAsia="zh-CN"/>
        </w:rPr>
      </w:pPr>
      <w:bookmarkStart w:id="181" w:name="_Toc28025_WPSOffice_Level2"/>
      <w:r>
        <w:rPr>
          <w:rFonts w:hint="default" w:ascii="Times New Roman" w:hAnsi="Times New Roman" w:eastAsia="方正仿宋_GBK" w:cs="Times New Roman"/>
          <w:sz w:val="32"/>
          <w:szCs w:val="32"/>
          <w:lang w:val="en-US" w:eastAsia="zh-CN"/>
        </w:rPr>
        <w:t>技术参数、服务及价格等。</w:t>
      </w:r>
      <w:bookmarkEnd w:id="181"/>
    </w:p>
    <w:p w14:paraId="50E4DEEF">
      <w:pPr>
        <w:pageBreakBefore w:val="0"/>
        <w:widowControl w:val="0"/>
        <w:numPr>
          <w:ilvl w:val="0"/>
          <w:numId w:val="0"/>
        </w:numPr>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4.评定成交的标准</w:t>
      </w:r>
    </w:p>
    <w:p w14:paraId="1ADA0BEB">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询价小组应当从质量和服务均能满足采购文件实质性响应要求的供应商中，按照</w:t>
      </w:r>
      <w:r>
        <w:rPr>
          <w:rFonts w:hint="eastAsia" w:ascii="Times New Roman" w:hAnsi="Times New Roman" w:cs="Times New Roman"/>
          <w:sz w:val="32"/>
          <w:szCs w:val="32"/>
          <w:lang w:val="en-US" w:eastAsia="zh-CN"/>
        </w:rPr>
        <w:t>统一下浮率</w:t>
      </w:r>
      <w:r>
        <w:rPr>
          <w:rFonts w:hint="default" w:ascii="Times New Roman" w:hAnsi="Times New Roman" w:eastAsia="方正仿宋_GBK" w:cs="Times New Roman"/>
          <w:sz w:val="32"/>
          <w:szCs w:val="32"/>
        </w:rPr>
        <w:t>由</w:t>
      </w:r>
      <w:r>
        <w:rPr>
          <w:rFonts w:hint="eastAsia" w:ascii="Times New Roman" w:hAnsi="Times New Roman" w:cs="Times New Roman"/>
          <w:sz w:val="32"/>
          <w:szCs w:val="32"/>
          <w:lang w:val="en-US" w:eastAsia="zh-CN"/>
        </w:rPr>
        <w:t>高</w:t>
      </w:r>
      <w:r>
        <w:rPr>
          <w:rFonts w:hint="default" w:ascii="Times New Roman" w:hAnsi="Times New Roman" w:eastAsia="方正仿宋_GBK" w:cs="Times New Roman"/>
          <w:sz w:val="32"/>
          <w:szCs w:val="32"/>
        </w:rPr>
        <w:t>到</w:t>
      </w:r>
      <w:r>
        <w:rPr>
          <w:rFonts w:hint="eastAsia" w:ascii="Times New Roman" w:hAnsi="Times New Roman" w:cs="Times New Roman"/>
          <w:sz w:val="32"/>
          <w:szCs w:val="32"/>
          <w:lang w:val="en-US" w:eastAsia="zh-CN"/>
        </w:rPr>
        <w:t>低</w:t>
      </w:r>
      <w:r>
        <w:rPr>
          <w:rFonts w:hint="default" w:ascii="Times New Roman" w:hAnsi="Times New Roman" w:eastAsia="方正仿宋_GBK" w:cs="Times New Roman"/>
          <w:sz w:val="32"/>
          <w:szCs w:val="32"/>
        </w:rPr>
        <w:t>的顺序提出</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报价相同的采取抽签顺序决定排名</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，并编写评审报告。</w:t>
      </w:r>
    </w:p>
    <w:p w14:paraId="6194F3E7">
      <w:pPr>
        <w:spacing w:line="360" w:lineRule="auto"/>
        <w:ind w:firstLine="640" w:firstLineChars="200"/>
        <w:rPr>
          <w:rFonts w:hint="default" w:ascii="Times New Roman" w:hAnsi="Times New Roman" w:cs="Times New Roman"/>
          <w:lang w:val="en-US" w:eastAsia="zh-CN"/>
        </w:rPr>
        <w:sectPr>
          <w:pgSz w:w="11906" w:h="16838"/>
          <w:pgMar w:top="1440" w:right="1800" w:bottom="1440" w:left="1800" w:header="851" w:footer="992" w:gutter="0"/>
          <w:pgNumType w:fmt="decimal"/>
          <w:cols w:space="425" w:num="1"/>
          <w:docGrid w:type="lines" w:linePitch="312" w:charSpace="0"/>
        </w:sectPr>
      </w:pPr>
    </w:p>
    <w:p w14:paraId="303FBC20">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cs="Times New Roman"/>
          <w:sz w:val="32"/>
          <w:szCs w:val="32"/>
          <w:lang w:val="en-US" w:eastAsia="zh-CN"/>
        </w:rPr>
        <w:t>大理州第二人民医院2025年药物基因检测试剂耗材采购项目（二次）</w:t>
      </w:r>
      <w:r>
        <w:rPr>
          <w:rFonts w:hint="default" w:ascii="Times New Roman" w:hAnsi="Times New Roman" w:eastAsia="方正仿宋_GBK" w:cs="Times New Roman"/>
          <w:sz w:val="32"/>
          <w:szCs w:val="32"/>
          <w:lang w:val="en-US" w:eastAsia="zh-CN"/>
        </w:rPr>
        <w:t>供应商报名表</w:t>
      </w:r>
    </w:p>
    <w:tbl>
      <w:tblPr>
        <w:tblStyle w:val="16"/>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14:paraId="0885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3" w:type="dxa"/>
            <w:vAlign w:val="center"/>
          </w:tcPr>
          <w:p w14:paraId="05AD0FD2">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供应商名称</w:t>
            </w:r>
          </w:p>
        </w:tc>
        <w:tc>
          <w:tcPr>
            <w:tcW w:w="2932" w:type="dxa"/>
          </w:tcPr>
          <w:p w14:paraId="53E62BC9">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686" w:type="dxa"/>
          </w:tcPr>
          <w:p w14:paraId="67B81441">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是否完全响应采购需求（填是/否）</w:t>
            </w:r>
          </w:p>
        </w:tc>
        <w:tc>
          <w:tcPr>
            <w:tcW w:w="1827" w:type="dxa"/>
            <w:vAlign w:val="center"/>
          </w:tcPr>
          <w:p w14:paraId="420A0554">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359" w:type="dxa"/>
            <w:vAlign w:val="center"/>
          </w:tcPr>
          <w:p w14:paraId="60DF8B92">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14:paraId="238C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3" w:type="dxa"/>
          </w:tcPr>
          <w:p w14:paraId="2715688E">
            <w:pPr>
              <w:rPr>
                <w:rFonts w:hint="default" w:ascii="Times New Roman" w:hAnsi="Times New Roman" w:eastAsia="方正仿宋_GBK" w:cs="Times New Roman"/>
                <w:sz w:val="32"/>
                <w:szCs w:val="32"/>
                <w:vertAlign w:val="baseline"/>
                <w:lang w:val="en-US" w:eastAsia="zh-CN"/>
              </w:rPr>
            </w:pPr>
          </w:p>
        </w:tc>
        <w:tc>
          <w:tcPr>
            <w:tcW w:w="2932" w:type="dxa"/>
          </w:tcPr>
          <w:p w14:paraId="6EC0C58E">
            <w:pPr>
              <w:rPr>
                <w:rFonts w:hint="default" w:ascii="Times New Roman" w:hAnsi="Times New Roman" w:eastAsia="方正仿宋_GBK" w:cs="Times New Roman"/>
                <w:sz w:val="32"/>
                <w:szCs w:val="32"/>
                <w:vertAlign w:val="baseline"/>
                <w:lang w:val="en-US" w:eastAsia="zh-CN"/>
              </w:rPr>
            </w:pPr>
          </w:p>
        </w:tc>
        <w:tc>
          <w:tcPr>
            <w:tcW w:w="2686" w:type="dxa"/>
          </w:tcPr>
          <w:p w14:paraId="070BBBBB">
            <w:pPr>
              <w:rPr>
                <w:rFonts w:hint="default" w:ascii="Times New Roman" w:hAnsi="Times New Roman" w:eastAsia="方正仿宋_GBK" w:cs="Times New Roman"/>
                <w:sz w:val="32"/>
                <w:szCs w:val="32"/>
                <w:vertAlign w:val="baseline"/>
                <w:lang w:val="en-US" w:eastAsia="zh-CN"/>
              </w:rPr>
            </w:pPr>
          </w:p>
        </w:tc>
        <w:tc>
          <w:tcPr>
            <w:tcW w:w="1827" w:type="dxa"/>
          </w:tcPr>
          <w:p w14:paraId="56C06AE3">
            <w:pPr>
              <w:rPr>
                <w:rFonts w:hint="default" w:ascii="Times New Roman" w:hAnsi="Times New Roman" w:eastAsia="方正仿宋_GBK" w:cs="Times New Roman"/>
                <w:sz w:val="32"/>
                <w:szCs w:val="32"/>
                <w:vertAlign w:val="baseline"/>
                <w:lang w:val="en-US" w:eastAsia="zh-CN"/>
              </w:rPr>
            </w:pPr>
          </w:p>
        </w:tc>
        <w:tc>
          <w:tcPr>
            <w:tcW w:w="2359" w:type="dxa"/>
          </w:tcPr>
          <w:p w14:paraId="56C54EE9">
            <w:pPr>
              <w:rPr>
                <w:rFonts w:hint="default" w:ascii="Times New Roman" w:hAnsi="Times New Roman" w:eastAsia="方正仿宋_GBK" w:cs="Times New Roman"/>
                <w:sz w:val="32"/>
                <w:szCs w:val="32"/>
                <w:vertAlign w:val="baseline"/>
                <w:lang w:val="en-US" w:eastAsia="zh-CN"/>
              </w:rPr>
            </w:pPr>
          </w:p>
        </w:tc>
      </w:tr>
    </w:tbl>
    <w:p w14:paraId="09BDC0E0">
      <w:pPr>
        <w:rPr>
          <w:rFonts w:hint="default" w:ascii="Times New Roman" w:hAnsi="Times New Roman" w:eastAsia="方正仿宋_GBK" w:cs="Times New Roman"/>
          <w:sz w:val="32"/>
          <w:szCs w:val="32"/>
          <w:lang w:val="en-US" w:eastAsia="zh-CN"/>
        </w:rPr>
      </w:pPr>
    </w:p>
    <w:p w14:paraId="64F0FFE5">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供应商名称（盖章）：</w:t>
      </w:r>
    </w:p>
    <w:p w14:paraId="1BC712AB">
      <w:pPr>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填报</w:t>
      </w:r>
      <w:r>
        <w:rPr>
          <w:rFonts w:hint="default" w:ascii="Times New Roman" w:hAnsi="Times New Roman" w:eastAsia="方正仿宋_GBK" w:cs="Times New Roman"/>
          <w:sz w:val="32"/>
          <w:szCs w:val="32"/>
          <w:lang w:val="en-US" w:eastAsia="zh-CN"/>
        </w:rPr>
        <w:t>日期：  年   月   日</w:t>
      </w:r>
    </w:p>
    <w:p w14:paraId="753E73A2">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注意事项：不接受现场报名，未按规定时间提交报名材料的供应商（生产厂家）不得参与该项目采购活动。</w:t>
      </w:r>
    </w:p>
    <w:p w14:paraId="17AD771B">
      <w:pPr>
        <w:rPr>
          <w:rFonts w:hint="default" w:ascii="Times New Roman" w:hAnsi="Times New Roman" w:eastAsia="方正仿宋_GBK" w:cs="Times New Roman"/>
          <w:sz w:val="32"/>
          <w:szCs w:val="32"/>
          <w:lang w:val="en-US" w:eastAsia="zh-CN"/>
        </w:rPr>
      </w:pPr>
    </w:p>
    <w:p w14:paraId="6A830AC5">
      <w:pPr>
        <w:pStyle w:val="2"/>
        <w:rPr>
          <w:rFonts w:hint="default"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6805B77D-BCDA-486D-AC12-AB7F59F43C12}"/>
  </w:font>
  <w:font w:name="方正黑体_GBK">
    <w:panose1 w:val="02000000000000000000"/>
    <w:charset w:val="86"/>
    <w:family w:val="auto"/>
    <w:pitch w:val="default"/>
    <w:sig w:usb0="00000001" w:usb1="080E0000" w:usb2="00000000" w:usb3="00000000" w:csb0="00040000" w:csb1="00000000"/>
    <w:embedRegular r:id="rId2" w:fontKey="{DDF5BB6A-B86D-453F-82C4-D6D820E5E3E4}"/>
  </w:font>
  <w:font w:name="华文楷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E0000" w:usb2="00000000" w:usb3="00000000" w:csb0="00040000" w:csb1="00000000"/>
    <w:embedRegular r:id="rId3" w:fontKey="{35BC7857-CF4C-4B6B-AF64-A7D58595A6F9}"/>
  </w:font>
  <w:font w:name="仿宋">
    <w:panose1 w:val="02010609060101010101"/>
    <w:charset w:val="86"/>
    <w:family w:val="modern"/>
    <w:pitch w:val="default"/>
    <w:sig w:usb0="800002BF" w:usb1="38CF7CFA" w:usb2="00000016" w:usb3="00000000" w:csb0="00040001" w:csb1="00000000"/>
    <w:embedRegular r:id="rId4" w:fontKey="{D7F418C8-57E4-47E5-9EDE-D505C98C071A}"/>
  </w:font>
  <w:font w:name="仿宋_GB2312">
    <w:panose1 w:val="02010609030101010101"/>
    <w:charset w:val="86"/>
    <w:family w:val="auto"/>
    <w:pitch w:val="default"/>
    <w:sig w:usb0="00000001" w:usb1="080E0000" w:usb2="00000000" w:usb3="00000000" w:csb0="00040000" w:csb1="00000000"/>
    <w:embedRegular r:id="rId5" w:fontKey="{2B4F249F-6BD4-4386-8262-1A68A063DF3F}"/>
  </w:font>
  <w:font w:name="Wingdings 2">
    <w:panose1 w:val="05020102010507070707"/>
    <w:charset w:val="00"/>
    <w:family w:val="auto"/>
    <w:pitch w:val="default"/>
    <w:sig w:usb0="00000000" w:usb1="00000000" w:usb2="00000000" w:usb3="00000000" w:csb0="80000000" w:csb1="00000000"/>
    <w:embedRegular r:id="rId6" w:fontKey="{35FA48D6-073C-44D9-9E24-FD336A1981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E1E3B">
    <w:pPr>
      <w:pStyle w:val="11"/>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65C0F">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D65C0F">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58C6B">
    <w:pPr>
      <w:keepNext w:val="0"/>
      <w:keepLines w:val="0"/>
      <w:pageBreakBefore w:val="0"/>
      <w:kinsoku/>
      <w:wordWrap/>
      <w:overflowPunct/>
      <w:topLinePunct w:val="0"/>
      <w:autoSpaceDE/>
      <w:autoSpaceDN/>
      <w:bidi w:val="0"/>
      <w:spacing w:line="460" w:lineRule="exact"/>
      <w:jc w:val="center"/>
      <w:textAlignment w:val="auto"/>
      <w:rPr>
        <w:rFonts w:hint="default"/>
        <w:sz w:val="21"/>
        <w:szCs w:val="21"/>
        <w:lang w:val="en-US" w:eastAsia="zh-CN"/>
      </w:rPr>
    </w:pPr>
    <w:r>
      <w:rPr>
        <w:rFonts w:hint="eastAsia" w:ascii="方正仿宋_GBK" w:hAnsi="方正仿宋_GBK" w:cs="方正仿宋_GBK"/>
        <w:color w:val="auto"/>
        <w:sz w:val="21"/>
        <w:szCs w:val="21"/>
        <w:u w:val="none"/>
        <w:lang w:val="en-US" w:eastAsia="zh-CN"/>
      </w:rPr>
      <w:t>大理州第二人民医院2025年药物基因检测试剂耗材采购项目（二次）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DC5CF"/>
    <w:multiLevelType w:val="singleLevel"/>
    <w:tmpl w:val="DF3DC5CF"/>
    <w:lvl w:ilvl="0" w:tentative="0">
      <w:start w:val="9"/>
      <w:numFmt w:val="chineseCounting"/>
      <w:suff w:val="nothing"/>
      <w:lvlText w:val="%1、"/>
      <w:lvlJc w:val="left"/>
      <w:rPr>
        <w:rFonts w:hint="eastAsia"/>
      </w:rPr>
    </w:lvl>
  </w:abstractNum>
  <w:abstractNum w:abstractNumId="1">
    <w:nsid w:val="DFB8BF3E"/>
    <w:multiLevelType w:val="singleLevel"/>
    <w:tmpl w:val="DFB8BF3E"/>
    <w:lvl w:ilvl="0" w:tentative="0">
      <w:start w:val="2"/>
      <w:numFmt w:val="chineseCounting"/>
      <w:suff w:val="nothing"/>
      <w:lvlText w:val="%1、"/>
      <w:lvlJc w:val="left"/>
      <w:rPr>
        <w:rFonts w:hint="eastAsia"/>
      </w:rPr>
    </w:lvl>
  </w:abstractNum>
  <w:abstractNum w:abstractNumId="2">
    <w:nsid w:val="ED3F3FA7"/>
    <w:multiLevelType w:val="singleLevel"/>
    <w:tmpl w:val="ED3F3FA7"/>
    <w:lvl w:ilvl="0" w:tentative="0">
      <w:start w:val="6"/>
      <w:numFmt w:val="chineseCounting"/>
      <w:suff w:val="space"/>
      <w:lvlText w:val="第%1章"/>
      <w:lvlJc w:val="left"/>
      <w:rPr>
        <w:rFonts w:hint="eastAsia"/>
      </w:rPr>
    </w:lvl>
  </w:abstractNum>
  <w:abstractNum w:abstractNumId="3">
    <w:nsid w:val="13FBA765"/>
    <w:multiLevelType w:val="singleLevel"/>
    <w:tmpl w:val="13FBA765"/>
    <w:lvl w:ilvl="0" w:tentative="0">
      <w:start w:val="2"/>
      <w:numFmt w:val="decimal"/>
      <w:lvlText w:val="%1."/>
      <w:lvlJc w:val="left"/>
      <w:pPr>
        <w:tabs>
          <w:tab w:val="left" w:pos="312"/>
        </w:tabs>
      </w:pPr>
    </w:lvl>
  </w:abstractNum>
  <w:abstractNum w:abstractNumId="4">
    <w:nsid w:val="183B8A8F"/>
    <w:multiLevelType w:val="singleLevel"/>
    <w:tmpl w:val="183B8A8F"/>
    <w:lvl w:ilvl="0" w:tentative="0">
      <w:start w:val="1"/>
      <w:numFmt w:val="chineseCounting"/>
      <w:suff w:val="nothing"/>
      <w:lvlText w:val="%1、"/>
      <w:lvlJc w:val="left"/>
      <w:rPr>
        <w:rFonts w:hint="eastAsia"/>
      </w:rPr>
    </w:lvl>
  </w:abstractNum>
  <w:abstractNum w:abstractNumId="5">
    <w:nsid w:val="1C21E0B1"/>
    <w:multiLevelType w:val="singleLevel"/>
    <w:tmpl w:val="1C21E0B1"/>
    <w:lvl w:ilvl="0" w:tentative="0">
      <w:start w:val="3"/>
      <w:numFmt w:val="chineseCounting"/>
      <w:suff w:val="nothing"/>
      <w:lvlText w:val="%1、"/>
      <w:lvlJc w:val="left"/>
      <w:rPr>
        <w:rFonts w:hint="eastAsia"/>
      </w:rPr>
    </w:lvl>
  </w:abstractNum>
  <w:abstractNum w:abstractNumId="6">
    <w:nsid w:val="34E38CE2"/>
    <w:multiLevelType w:val="singleLevel"/>
    <w:tmpl w:val="34E38CE2"/>
    <w:lvl w:ilvl="0" w:tentative="0">
      <w:start w:val="1"/>
      <w:numFmt w:val="decimal"/>
      <w:suff w:val="nothing"/>
      <w:lvlText w:val="%1、"/>
      <w:lvlJc w:val="left"/>
    </w:lvl>
  </w:abstractNum>
  <w:abstractNum w:abstractNumId="7">
    <w:nsid w:val="49D60623"/>
    <w:multiLevelType w:val="singleLevel"/>
    <w:tmpl w:val="49D60623"/>
    <w:lvl w:ilvl="0" w:tentative="0">
      <w:start w:val="1"/>
      <w:numFmt w:val="chineseCounting"/>
      <w:suff w:val="space"/>
      <w:lvlText w:val="第%1章"/>
      <w:lvlJc w:val="left"/>
      <w:rPr>
        <w:rFonts w:hint="eastAsia"/>
      </w:rPr>
    </w:lvl>
  </w:abstractNum>
  <w:num w:numId="1">
    <w:abstractNumId w:val="7"/>
  </w:num>
  <w:num w:numId="2">
    <w:abstractNumId w:val="5"/>
  </w:num>
  <w:num w:numId="3">
    <w:abstractNumId w:val="0"/>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TE4NDU2NmY0ZDM4N2IwOWQ4ZjYwMDkyZTU5MmUifQ=="/>
  </w:docVars>
  <w:rsids>
    <w:rsidRoot w:val="00000000"/>
    <w:rsid w:val="000E2031"/>
    <w:rsid w:val="0076299A"/>
    <w:rsid w:val="01255169"/>
    <w:rsid w:val="018D0FD6"/>
    <w:rsid w:val="01936EA0"/>
    <w:rsid w:val="021D5A27"/>
    <w:rsid w:val="022F72B6"/>
    <w:rsid w:val="0263135A"/>
    <w:rsid w:val="0363710A"/>
    <w:rsid w:val="038C2F60"/>
    <w:rsid w:val="039A62C8"/>
    <w:rsid w:val="03D128DC"/>
    <w:rsid w:val="04096B57"/>
    <w:rsid w:val="04582133"/>
    <w:rsid w:val="04A7469F"/>
    <w:rsid w:val="04CF1D30"/>
    <w:rsid w:val="04E64753"/>
    <w:rsid w:val="05B237CA"/>
    <w:rsid w:val="05C75370"/>
    <w:rsid w:val="05DA0C08"/>
    <w:rsid w:val="063E7B7D"/>
    <w:rsid w:val="06D53145"/>
    <w:rsid w:val="06FA553D"/>
    <w:rsid w:val="07E02D1B"/>
    <w:rsid w:val="088A7F8C"/>
    <w:rsid w:val="08B9151D"/>
    <w:rsid w:val="0932124D"/>
    <w:rsid w:val="09670CFE"/>
    <w:rsid w:val="09A25DAD"/>
    <w:rsid w:val="09A3532C"/>
    <w:rsid w:val="09AE2C83"/>
    <w:rsid w:val="09E00CA7"/>
    <w:rsid w:val="09E17CD4"/>
    <w:rsid w:val="09F21AF7"/>
    <w:rsid w:val="0A572533"/>
    <w:rsid w:val="0A575B5C"/>
    <w:rsid w:val="0AB92A4E"/>
    <w:rsid w:val="0AE70392"/>
    <w:rsid w:val="0B033DE6"/>
    <w:rsid w:val="0B156206"/>
    <w:rsid w:val="0BA42B36"/>
    <w:rsid w:val="0C9B7937"/>
    <w:rsid w:val="0D111EA9"/>
    <w:rsid w:val="0D5E7E0F"/>
    <w:rsid w:val="0DD346D1"/>
    <w:rsid w:val="0DDA1E79"/>
    <w:rsid w:val="0E0F176F"/>
    <w:rsid w:val="0E4F7A2A"/>
    <w:rsid w:val="0E6C5D5E"/>
    <w:rsid w:val="0E7B2E13"/>
    <w:rsid w:val="0ECA2773"/>
    <w:rsid w:val="0EEE7787"/>
    <w:rsid w:val="0F1B212E"/>
    <w:rsid w:val="0F8B20C4"/>
    <w:rsid w:val="0FB43427"/>
    <w:rsid w:val="0FDA38CE"/>
    <w:rsid w:val="10B55F11"/>
    <w:rsid w:val="10B738C5"/>
    <w:rsid w:val="10B92561"/>
    <w:rsid w:val="10EA1F74"/>
    <w:rsid w:val="10EC06C1"/>
    <w:rsid w:val="10FE7C28"/>
    <w:rsid w:val="11456516"/>
    <w:rsid w:val="11506EE7"/>
    <w:rsid w:val="116D1C82"/>
    <w:rsid w:val="11A36FF9"/>
    <w:rsid w:val="11A57251"/>
    <w:rsid w:val="121F7463"/>
    <w:rsid w:val="122A44DD"/>
    <w:rsid w:val="12C73D4C"/>
    <w:rsid w:val="134E0158"/>
    <w:rsid w:val="13516249"/>
    <w:rsid w:val="13534264"/>
    <w:rsid w:val="13642FC2"/>
    <w:rsid w:val="13794A33"/>
    <w:rsid w:val="13A52DE8"/>
    <w:rsid w:val="13AF127B"/>
    <w:rsid w:val="13D33F3A"/>
    <w:rsid w:val="14943C1C"/>
    <w:rsid w:val="14AB025C"/>
    <w:rsid w:val="14CC5BE8"/>
    <w:rsid w:val="14D074A3"/>
    <w:rsid w:val="14DB07BD"/>
    <w:rsid w:val="14F5787A"/>
    <w:rsid w:val="15B82CF2"/>
    <w:rsid w:val="15CB073F"/>
    <w:rsid w:val="15F32C5E"/>
    <w:rsid w:val="16024B90"/>
    <w:rsid w:val="16530612"/>
    <w:rsid w:val="16DF111B"/>
    <w:rsid w:val="170B5C4F"/>
    <w:rsid w:val="17240AA2"/>
    <w:rsid w:val="17A32564"/>
    <w:rsid w:val="17C53F10"/>
    <w:rsid w:val="18706BA4"/>
    <w:rsid w:val="189D0785"/>
    <w:rsid w:val="18F96061"/>
    <w:rsid w:val="18FD51FE"/>
    <w:rsid w:val="193B720A"/>
    <w:rsid w:val="19495B8F"/>
    <w:rsid w:val="194B3691"/>
    <w:rsid w:val="1954420A"/>
    <w:rsid w:val="19994430"/>
    <w:rsid w:val="19CD180A"/>
    <w:rsid w:val="1A8D0876"/>
    <w:rsid w:val="1AD559B1"/>
    <w:rsid w:val="1AEA2B45"/>
    <w:rsid w:val="1BF754B3"/>
    <w:rsid w:val="1C1D6537"/>
    <w:rsid w:val="1C55393D"/>
    <w:rsid w:val="1CC501FA"/>
    <w:rsid w:val="1DB83067"/>
    <w:rsid w:val="1E0E59D8"/>
    <w:rsid w:val="1E133DAD"/>
    <w:rsid w:val="1E4F3B8B"/>
    <w:rsid w:val="1E5537A3"/>
    <w:rsid w:val="1E5D2FF8"/>
    <w:rsid w:val="1E7F38E5"/>
    <w:rsid w:val="1E8C2E80"/>
    <w:rsid w:val="1EDC3A76"/>
    <w:rsid w:val="1FC85AE5"/>
    <w:rsid w:val="1FD9055F"/>
    <w:rsid w:val="1FEB00BE"/>
    <w:rsid w:val="20475E57"/>
    <w:rsid w:val="206B008D"/>
    <w:rsid w:val="20AC66B5"/>
    <w:rsid w:val="21295ACF"/>
    <w:rsid w:val="219C580D"/>
    <w:rsid w:val="21CD4C6F"/>
    <w:rsid w:val="21E72DEE"/>
    <w:rsid w:val="22154D90"/>
    <w:rsid w:val="229B1455"/>
    <w:rsid w:val="22AD687D"/>
    <w:rsid w:val="22B952CF"/>
    <w:rsid w:val="22BC6401"/>
    <w:rsid w:val="233404B0"/>
    <w:rsid w:val="233471A9"/>
    <w:rsid w:val="234D171C"/>
    <w:rsid w:val="238333FD"/>
    <w:rsid w:val="23C7553D"/>
    <w:rsid w:val="24170C0F"/>
    <w:rsid w:val="245142FB"/>
    <w:rsid w:val="246701EB"/>
    <w:rsid w:val="24917717"/>
    <w:rsid w:val="251771A0"/>
    <w:rsid w:val="25C32FD6"/>
    <w:rsid w:val="25E946DA"/>
    <w:rsid w:val="264E664C"/>
    <w:rsid w:val="268B23BF"/>
    <w:rsid w:val="26941253"/>
    <w:rsid w:val="26A32095"/>
    <w:rsid w:val="26D53D8A"/>
    <w:rsid w:val="27496ECB"/>
    <w:rsid w:val="27754EE2"/>
    <w:rsid w:val="27966B50"/>
    <w:rsid w:val="28085315"/>
    <w:rsid w:val="28436A25"/>
    <w:rsid w:val="28AE5C1B"/>
    <w:rsid w:val="29025F22"/>
    <w:rsid w:val="294F5FAA"/>
    <w:rsid w:val="29503BAF"/>
    <w:rsid w:val="29DE1974"/>
    <w:rsid w:val="2AAB49FE"/>
    <w:rsid w:val="2AFB3AB7"/>
    <w:rsid w:val="2B213552"/>
    <w:rsid w:val="2B814968"/>
    <w:rsid w:val="2B861EA7"/>
    <w:rsid w:val="2B8F2E95"/>
    <w:rsid w:val="2BBD5B0A"/>
    <w:rsid w:val="2BDB77F9"/>
    <w:rsid w:val="2D19796F"/>
    <w:rsid w:val="2D4C20D0"/>
    <w:rsid w:val="2D4D219B"/>
    <w:rsid w:val="2D596FF3"/>
    <w:rsid w:val="2D5A07FC"/>
    <w:rsid w:val="2D836EA3"/>
    <w:rsid w:val="2DA410E6"/>
    <w:rsid w:val="2DB83A4F"/>
    <w:rsid w:val="2E15278D"/>
    <w:rsid w:val="2E746D02"/>
    <w:rsid w:val="2E9B139E"/>
    <w:rsid w:val="2EC319E0"/>
    <w:rsid w:val="2ED418D9"/>
    <w:rsid w:val="2EE519EA"/>
    <w:rsid w:val="2F4A02C4"/>
    <w:rsid w:val="2F826B76"/>
    <w:rsid w:val="303C1333"/>
    <w:rsid w:val="30682F93"/>
    <w:rsid w:val="30AB4D7A"/>
    <w:rsid w:val="30DE3B1E"/>
    <w:rsid w:val="30DF142C"/>
    <w:rsid w:val="30F47F4E"/>
    <w:rsid w:val="312E4B49"/>
    <w:rsid w:val="3195010A"/>
    <w:rsid w:val="31CA0BF1"/>
    <w:rsid w:val="31EB0E32"/>
    <w:rsid w:val="324B7158"/>
    <w:rsid w:val="329335C7"/>
    <w:rsid w:val="32D8097F"/>
    <w:rsid w:val="33037A84"/>
    <w:rsid w:val="333A644E"/>
    <w:rsid w:val="33B84825"/>
    <w:rsid w:val="33FB3D72"/>
    <w:rsid w:val="342B1D46"/>
    <w:rsid w:val="345566A7"/>
    <w:rsid w:val="345A3171"/>
    <w:rsid w:val="34A26952"/>
    <w:rsid w:val="351A11EA"/>
    <w:rsid w:val="352F4663"/>
    <w:rsid w:val="354457B6"/>
    <w:rsid w:val="35B24DB4"/>
    <w:rsid w:val="35CC42BC"/>
    <w:rsid w:val="3653668E"/>
    <w:rsid w:val="36976F79"/>
    <w:rsid w:val="37012A8E"/>
    <w:rsid w:val="376F33EB"/>
    <w:rsid w:val="37BC22E3"/>
    <w:rsid w:val="390D18F4"/>
    <w:rsid w:val="39A7476B"/>
    <w:rsid w:val="3A114E37"/>
    <w:rsid w:val="3A5D0A48"/>
    <w:rsid w:val="3A8B638D"/>
    <w:rsid w:val="3AC910B5"/>
    <w:rsid w:val="3AD04698"/>
    <w:rsid w:val="3B33447C"/>
    <w:rsid w:val="3B554279"/>
    <w:rsid w:val="3BBD5DA7"/>
    <w:rsid w:val="3BFB2C23"/>
    <w:rsid w:val="3C504A70"/>
    <w:rsid w:val="3C850DA6"/>
    <w:rsid w:val="3D0556E4"/>
    <w:rsid w:val="3D055932"/>
    <w:rsid w:val="3D077E68"/>
    <w:rsid w:val="3D812E51"/>
    <w:rsid w:val="3D8A4A83"/>
    <w:rsid w:val="3D9F4E3A"/>
    <w:rsid w:val="3EE53CDA"/>
    <w:rsid w:val="3F9650BA"/>
    <w:rsid w:val="3FC06779"/>
    <w:rsid w:val="400B3831"/>
    <w:rsid w:val="402C6D45"/>
    <w:rsid w:val="4087178C"/>
    <w:rsid w:val="4124336F"/>
    <w:rsid w:val="4175528F"/>
    <w:rsid w:val="417B29EC"/>
    <w:rsid w:val="41A46050"/>
    <w:rsid w:val="42047947"/>
    <w:rsid w:val="42474740"/>
    <w:rsid w:val="42606FC2"/>
    <w:rsid w:val="427A2B43"/>
    <w:rsid w:val="429B5C7D"/>
    <w:rsid w:val="42C4498C"/>
    <w:rsid w:val="42D46229"/>
    <w:rsid w:val="42F67042"/>
    <w:rsid w:val="43784FA8"/>
    <w:rsid w:val="43955EE6"/>
    <w:rsid w:val="43DA1797"/>
    <w:rsid w:val="43E03DBF"/>
    <w:rsid w:val="446C4078"/>
    <w:rsid w:val="4470687E"/>
    <w:rsid w:val="44731680"/>
    <w:rsid w:val="44874045"/>
    <w:rsid w:val="44D1058E"/>
    <w:rsid w:val="44D81A5D"/>
    <w:rsid w:val="44E5549C"/>
    <w:rsid w:val="44F65A65"/>
    <w:rsid w:val="45913515"/>
    <w:rsid w:val="461D2D9B"/>
    <w:rsid w:val="462517E9"/>
    <w:rsid w:val="465809DE"/>
    <w:rsid w:val="467E3312"/>
    <w:rsid w:val="472D2DBD"/>
    <w:rsid w:val="47511C05"/>
    <w:rsid w:val="47B57E4D"/>
    <w:rsid w:val="47BF6E9A"/>
    <w:rsid w:val="47EB2DB3"/>
    <w:rsid w:val="480A46CC"/>
    <w:rsid w:val="48285ED2"/>
    <w:rsid w:val="48990DF5"/>
    <w:rsid w:val="48F548CD"/>
    <w:rsid w:val="491771D2"/>
    <w:rsid w:val="499E3486"/>
    <w:rsid w:val="49C909CF"/>
    <w:rsid w:val="49EB4118"/>
    <w:rsid w:val="4A0D293E"/>
    <w:rsid w:val="4A593AB5"/>
    <w:rsid w:val="4A5C1461"/>
    <w:rsid w:val="4A5D6323"/>
    <w:rsid w:val="4ACF79FC"/>
    <w:rsid w:val="4B0B11E7"/>
    <w:rsid w:val="4B221BC6"/>
    <w:rsid w:val="4B2E2B37"/>
    <w:rsid w:val="4B582BB9"/>
    <w:rsid w:val="4B757264"/>
    <w:rsid w:val="4B870740"/>
    <w:rsid w:val="4B9D3D81"/>
    <w:rsid w:val="4BAC344F"/>
    <w:rsid w:val="4BC26D5C"/>
    <w:rsid w:val="4BD76FF0"/>
    <w:rsid w:val="4BF818EC"/>
    <w:rsid w:val="4C3678C8"/>
    <w:rsid w:val="4CA34331"/>
    <w:rsid w:val="4CAE3AA3"/>
    <w:rsid w:val="4CC67F3A"/>
    <w:rsid w:val="4CE3540B"/>
    <w:rsid w:val="4D364729"/>
    <w:rsid w:val="4D3B35D8"/>
    <w:rsid w:val="4D614D33"/>
    <w:rsid w:val="4D6B0C48"/>
    <w:rsid w:val="4E125A02"/>
    <w:rsid w:val="4E1C020C"/>
    <w:rsid w:val="4E233CD0"/>
    <w:rsid w:val="4E2D1B6F"/>
    <w:rsid w:val="4EBB1C98"/>
    <w:rsid w:val="4EE1474E"/>
    <w:rsid w:val="4F1D76BF"/>
    <w:rsid w:val="4F2431B0"/>
    <w:rsid w:val="500A58D5"/>
    <w:rsid w:val="502E3694"/>
    <w:rsid w:val="505A3201"/>
    <w:rsid w:val="505C4EE0"/>
    <w:rsid w:val="505C7A00"/>
    <w:rsid w:val="506F7732"/>
    <w:rsid w:val="510A2119"/>
    <w:rsid w:val="51AE001E"/>
    <w:rsid w:val="51B60EEB"/>
    <w:rsid w:val="51DE3F25"/>
    <w:rsid w:val="520B2236"/>
    <w:rsid w:val="52293BB7"/>
    <w:rsid w:val="526B344C"/>
    <w:rsid w:val="528A22F8"/>
    <w:rsid w:val="52C12D8E"/>
    <w:rsid w:val="52D55449"/>
    <w:rsid w:val="52E65491"/>
    <w:rsid w:val="53AB5C93"/>
    <w:rsid w:val="53BA1757"/>
    <w:rsid w:val="54091D68"/>
    <w:rsid w:val="54164366"/>
    <w:rsid w:val="542D20AB"/>
    <w:rsid w:val="543D69A0"/>
    <w:rsid w:val="54671339"/>
    <w:rsid w:val="54C64B3E"/>
    <w:rsid w:val="54F05DF2"/>
    <w:rsid w:val="550C5911"/>
    <w:rsid w:val="551A5634"/>
    <w:rsid w:val="55BC2C45"/>
    <w:rsid w:val="564B109D"/>
    <w:rsid w:val="56A91DDA"/>
    <w:rsid w:val="56D94BDA"/>
    <w:rsid w:val="56FE460D"/>
    <w:rsid w:val="57260D05"/>
    <w:rsid w:val="57482791"/>
    <w:rsid w:val="57A65664"/>
    <w:rsid w:val="57C56BFC"/>
    <w:rsid w:val="58483B99"/>
    <w:rsid w:val="587329DA"/>
    <w:rsid w:val="58916243"/>
    <w:rsid w:val="591846ED"/>
    <w:rsid w:val="592022CA"/>
    <w:rsid w:val="59252B5B"/>
    <w:rsid w:val="59736B31"/>
    <w:rsid w:val="5980475F"/>
    <w:rsid w:val="5983777F"/>
    <w:rsid w:val="5A3A3C87"/>
    <w:rsid w:val="5A5D7EFD"/>
    <w:rsid w:val="5A852FE5"/>
    <w:rsid w:val="5A89576C"/>
    <w:rsid w:val="5AEE6358"/>
    <w:rsid w:val="5AF954D7"/>
    <w:rsid w:val="5B0D17AF"/>
    <w:rsid w:val="5B345801"/>
    <w:rsid w:val="5B6A3DA5"/>
    <w:rsid w:val="5B7675E1"/>
    <w:rsid w:val="5CEE19DF"/>
    <w:rsid w:val="5D08563B"/>
    <w:rsid w:val="5D6F56BA"/>
    <w:rsid w:val="5DD717C4"/>
    <w:rsid w:val="5E044725"/>
    <w:rsid w:val="5E1404DF"/>
    <w:rsid w:val="5E254AFD"/>
    <w:rsid w:val="5E7E1CF2"/>
    <w:rsid w:val="5E816CC5"/>
    <w:rsid w:val="5E9542ED"/>
    <w:rsid w:val="5EC305E0"/>
    <w:rsid w:val="5F051F75"/>
    <w:rsid w:val="5F195BD1"/>
    <w:rsid w:val="5F2A38B4"/>
    <w:rsid w:val="5F4227D2"/>
    <w:rsid w:val="5F5848B3"/>
    <w:rsid w:val="5FC73077"/>
    <w:rsid w:val="5FD77A5B"/>
    <w:rsid w:val="5FFD12D5"/>
    <w:rsid w:val="603A10FB"/>
    <w:rsid w:val="60DC79FC"/>
    <w:rsid w:val="60F20A77"/>
    <w:rsid w:val="61143D95"/>
    <w:rsid w:val="61222F3D"/>
    <w:rsid w:val="615B42BA"/>
    <w:rsid w:val="62045787"/>
    <w:rsid w:val="62584832"/>
    <w:rsid w:val="625C5B20"/>
    <w:rsid w:val="625F2D4E"/>
    <w:rsid w:val="62805DF0"/>
    <w:rsid w:val="62A57D4F"/>
    <w:rsid w:val="62D34E5B"/>
    <w:rsid w:val="62D522B5"/>
    <w:rsid w:val="635355C6"/>
    <w:rsid w:val="6386292D"/>
    <w:rsid w:val="640123CE"/>
    <w:rsid w:val="642E7C1B"/>
    <w:rsid w:val="64390AC0"/>
    <w:rsid w:val="64485070"/>
    <w:rsid w:val="647F2B28"/>
    <w:rsid w:val="64913B85"/>
    <w:rsid w:val="64983243"/>
    <w:rsid w:val="64CC56C3"/>
    <w:rsid w:val="650E650D"/>
    <w:rsid w:val="65274368"/>
    <w:rsid w:val="653C30AB"/>
    <w:rsid w:val="6573098A"/>
    <w:rsid w:val="65993A9C"/>
    <w:rsid w:val="65A760AB"/>
    <w:rsid w:val="661E4B5C"/>
    <w:rsid w:val="66386B49"/>
    <w:rsid w:val="664517B1"/>
    <w:rsid w:val="66690F9D"/>
    <w:rsid w:val="66DA441D"/>
    <w:rsid w:val="670B6D9F"/>
    <w:rsid w:val="673B5616"/>
    <w:rsid w:val="6764184A"/>
    <w:rsid w:val="67B0620F"/>
    <w:rsid w:val="68974925"/>
    <w:rsid w:val="68F40AE6"/>
    <w:rsid w:val="695B3D8F"/>
    <w:rsid w:val="696867D1"/>
    <w:rsid w:val="6A0E05B0"/>
    <w:rsid w:val="6A34110C"/>
    <w:rsid w:val="6A4D07C6"/>
    <w:rsid w:val="6AA42107"/>
    <w:rsid w:val="6ABC6AD8"/>
    <w:rsid w:val="6B1346ED"/>
    <w:rsid w:val="6BAC62D7"/>
    <w:rsid w:val="6BB378EF"/>
    <w:rsid w:val="6BC02AA9"/>
    <w:rsid w:val="6BC81A3A"/>
    <w:rsid w:val="6BD54ED0"/>
    <w:rsid w:val="6C3863A9"/>
    <w:rsid w:val="6C4B4286"/>
    <w:rsid w:val="6C8C49D4"/>
    <w:rsid w:val="6CAB3D69"/>
    <w:rsid w:val="6CF74956"/>
    <w:rsid w:val="6D360D52"/>
    <w:rsid w:val="6D402624"/>
    <w:rsid w:val="6D495A6E"/>
    <w:rsid w:val="6D500B8A"/>
    <w:rsid w:val="6E216950"/>
    <w:rsid w:val="6E3232E3"/>
    <w:rsid w:val="6E403586"/>
    <w:rsid w:val="6E5649DD"/>
    <w:rsid w:val="6E6832AF"/>
    <w:rsid w:val="6E7270B5"/>
    <w:rsid w:val="6ED0363B"/>
    <w:rsid w:val="6EE557F2"/>
    <w:rsid w:val="6F0D2751"/>
    <w:rsid w:val="6F13685B"/>
    <w:rsid w:val="6F2142C6"/>
    <w:rsid w:val="6F2F2055"/>
    <w:rsid w:val="6F3603A6"/>
    <w:rsid w:val="6F685641"/>
    <w:rsid w:val="6F8957F8"/>
    <w:rsid w:val="6FFB17E9"/>
    <w:rsid w:val="6FFF22C9"/>
    <w:rsid w:val="700A0594"/>
    <w:rsid w:val="706C25FE"/>
    <w:rsid w:val="70942538"/>
    <w:rsid w:val="70AD10C2"/>
    <w:rsid w:val="713C459F"/>
    <w:rsid w:val="71496A24"/>
    <w:rsid w:val="716F4028"/>
    <w:rsid w:val="71846DE1"/>
    <w:rsid w:val="71E70438"/>
    <w:rsid w:val="72263AAF"/>
    <w:rsid w:val="72A71C81"/>
    <w:rsid w:val="72E61B87"/>
    <w:rsid w:val="730B5EB9"/>
    <w:rsid w:val="73202523"/>
    <w:rsid w:val="7365365F"/>
    <w:rsid w:val="73AF1A71"/>
    <w:rsid w:val="73DC6103"/>
    <w:rsid w:val="74B35E8D"/>
    <w:rsid w:val="75BE6BCA"/>
    <w:rsid w:val="769B64B7"/>
    <w:rsid w:val="76BF57D5"/>
    <w:rsid w:val="76DB742C"/>
    <w:rsid w:val="76EE13AB"/>
    <w:rsid w:val="770C6097"/>
    <w:rsid w:val="772538E7"/>
    <w:rsid w:val="772C5186"/>
    <w:rsid w:val="78686BA9"/>
    <w:rsid w:val="78893826"/>
    <w:rsid w:val="78895347"/>
    <w:rsid w:val="78A66FD7"/>
    <w:rsid w:val="78FA7B4C"/>
    <w:rsid w:val="791C24A1"/>
    <w:rsid w:val="79311181"/>
    <w:rsid w:val="79555262"/>
    <w:rsid w:val="797456A1"/>
    <w:rsid w:val="79816E0B"/>
    <w:rsid w:val="79C661A5"/>
    <w:rsid w:val="79DD3BE8"/>
    <w:rsid w:val="7A3755B3"/>
    <w:rsid w:val="7A4C6250"/>
    <w:rsid w:val="7A6714DC"/>
    <w:rsid w:val="7AD36C79"/>
    <w:rsid w:val="7AE52209"/>
    <w:rsid w:val="7AF67924"/>
    <w:rsid w:val="7C191E55"/>
    <w:rsid w:val="7C7978E4"/>
    <w:rsid w:val="7D56764F"/>
    <w:rsid w:val="7DAB6905"/>
    <w:rsid w:val="7E066A6D"/>
    <w:rsid w:val="7E3E312B"/>
    <w:rsid w:val="7E9C2931"/>
    <w:rsid w:val="7EAA7A04"/>
    <w:rsid w:val="7F0C7065"/>
    <w:rsid w:val="7F1D01D6"/>
    <w:rsid w:val="7F9F776C"/>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1"/>
    <w:basedOn w:val="1"/>
    <w:next w:val="1"/>
    <w:link w:val="23"/>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4">
    <w:name w:val="heading 2"/>
    <w:basedOn w:val="1"/>
    <w:next w:val="1"/>
    <w:link w:val="19"/>
    <w:qFormat/>
    <w:uiPriority w:val="0"/>
    <w:pPr>
      <w:keepNext/>
      <w:keepLines/>
      <w:spacing w:line="400" w:lineRule="exact"/>
      <w:jc w:val="left"/>
      <w:outlineLvl w:val="1"/>
    </w:pPr>
    <w:rPr>
      <w:rFonts w:ascii="Arial" w:hAnsi="Arial" w:eastAsia="方正黑体_GBK"/>
      <w:b/>
      <w:kern w:val="0"/>
      <w:sz w:val="32"/>
    </w:rPr>
  </w:style>
  <w:style w:type="paragraph" w:styleId="5">
    <w:name w:val="heading 3"/>
    <w:basedOn w:val="1"/>
    <w:next w:val="1"/>
    <w:link w:val="30"/>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6">
    <w:name w:val="annotation text"/>
    <w:basedOn w:val="1"/>
    <w:qFormat/>
    <w:uiPriority w:val="99"/>
    <w:pPr>
      <w:widowControl w:val="0"/>
      <w:spacing w:line="240" w:lineRule="auto"/>
      <w:jc w:val="left"/>
    </w:pPr>
    <w:rPr>
      <w:color w:val="auto"/>
      <w:kern w:val="2"/>
      <w:sz w:val="24"/>
      <w:szCs w:val="24"/>
      <w:u w:val="none" w:color="auto"/>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0"/>
    <w:pPr>
      <w:ind w:firstLine="420" w:firstLineChars="200"/>
    </w:pPr>
  </w:style>
  <w:style w:type="paragraph" w:styleId="9">
    <w:name w:val="Body Text First Indent"/>
    <w:basedOn w:val="2"/>
    <w:next w:val="1"/>
    <w:qFormat/>
    <w:uiPriority w:val="0"/>
    <w:pPr>
      <w:spacing w:line="360" w:lineRule="auto"/>
      <w:ind w:firstLine="425"/>
    </w:pPr>
    <w:rPr>
      <w:szCs w:val="21"/>
    </w:rPr>
  </w:style>
  <w:style w:type="paragraph" w:styleId="10">
    <w:name w:val="Plain Text"/>
    <w:basedOn w:val="1"/>
    <w:qFormat/>
    <w:uiPriority w:val="99"/>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semiHidden/>
    <w:unhideWhenUsed/>
    <w:qFormat/>
    <w:uiPriority w:val="99"/>
    <w:rPr>
      <w:sz w:val="21"/>
      <w:szCs w:val="21"/>
    </w:rPr>
  </w:style>
  <w:style w:type="character" w:customStyle="1" w:styleId="19">
    <w:name w:val="标题 2 Char"/>
    <w:link w:val="4"/>
    <w:qFormat/>
    <w:uiPriority w:val="0"/>
    <w:rPr>
      <w:rFonts w:ascii="Arial" w:hAnsi="Arial" w:eastAsia="方正黑体_GBK"/>
      <w:b/>
      <w:kern w:val="0"/>
      <w:sz w:val="32"/>
    </w:rPr>
  </w:style>
  <w:style w:type="paragraph" w:customStyle="1" w:styleId="20">
    <w:name w:val="一级条标题"/>
    <w:basedOn w:val="21"/>
    <w:next w:val="22"/>
    <w:qFormat/>
    <w:uiPriority w:val="0"/>
    <w:pPr>
      <w:tabs>
        <w:tab w:val="left" w:pos="360"/>
        <w:tab w:val="left" w:pos="1035"/>
        <w:tab w:val="left" w:pos="1137"/>
        <w:tab w:val="left" w:pos="2577"/>
      </w:tabs>
      <w:spacing w:beforeLines="0" w:afterLines="0"/>
      <w:ind w:left="1035" w:hanging="570"/>
      <w:outlineLvl w:val="2"/>
    </w:pPr>
  </w:style>
  <w:style w:type="paragraph" w:customStyle="1" w:styleId="21">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22">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23">
    <w:name w:val="标题 1 Char"/>
    <w:link w:val="3"/>
    <w:qFormat/>
    <w:uiPriority w:val="0"/>
    <w:rPr>
      <w:rFonts w:eastAsia="方正黑体_GBK" w:asciiTheme="minorAscii" w:hAnsiTheme="minorAscii"/>
      <w:b/>
      <w:kern w:val="44"/>
      <w:sz w:val="32"/>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customStyle="1" w:styleId="25">
    <w:name w:val="WPSOffice手动目录 2"/>
    <w:qFormat/>
    <w:uiPriority w:val="0"/>
    <w:pPr>
      <w:ind w:leftChars="200"/>
    </w:pPr>
    <w:rPr>
      <w:rFonts w:asciiTheme="minorHAnsi" w:hAnsiTheme="minorHAnsi" w:eastAsiaTheme="minorEastAsia" w:cstheme="minorBidi"/>
      <w:sz w:val="20"/>
      <w:szCs w:val="20"/>
    </w:rPr>
  </w:style>
  <w:style w:type="character" w:customStyle="1" w:styleId="26">
    <w:name w:val="font11"/>
    <w:basedOn w:val="17"/>
    <w:qFormat/>
    <w:uiPriority w:val="0"/>
    <w:rPr>
      <w:rFonts w:hint="eastAsia" w:ascii="宋体" w:hAnsi="宋体" w:eastAsia="宋体" w:cs="宋体"/>
      <w:color w:val="000000"/>
      <w:sz w:val="20"/>
      <w:szCs w:val="20"/>
      <w:u w:val="none"/>
    </w:rPr>
  </w:style>
  <w:style w:type="character" w:customStyle="1" w:styleId="27">
    <w:name w:val="font21"/>
    <w:basedOn w:val="17"/>
    <w:qFormat/>
    <w:uiPriority w:val="0"/>
    <w:rPr>
      <w:rFonts w:hint="eastAsia" w:ascii="宋体" w:hAnsi="宋体" w:eastAsia="宋体" w:cs="宋体"/>
      <w:color w:val="000000"/>
      <w:sz w:val="20"/>
      <w:szCs w:val="20"/>
      <w:u w:val="none"/>
    </w:rPr>
  </w:style>
  <w:style w:type="paragraph" w:styleId="28">
    <w:name w:val="List Paragraph"/>
    <w:basedOn w:val="1"/>
    <w:qFormat/>
    <w:uiPriority w:val="99"/>
    <w:pPr>
      <w:ind w:firstLine="420"/>
    </w:pPr>
  </w:style>
  <w:style w:type="paragraph" w:customStyle="1" w:styleId="29">
    <w:name w:val="表格文字"/>
    <w:basedOn w:val="1"/>
    <w:qFormat/>
    <w:uiPriority w:val="0"/>
    <w:pPr>
      <w:spacing w:before="25" w:after="25"/>
      <w:jc w:val="left"/>
    </w:pPr>
    <w:rPr>
      <w:bCs/>
      <w:spacing w:val="10"/>
      <w:kern w:val="0"/>
      <w:sz w:val="24"/>
      <w:szCs w:val="20"/>
    </w:rPr>
  </w:style>
  <w:style w:type="character" w:customStyle="1" w:styleId="30">
    <w:name w:val="标题 3 Char"/>
    <w:link w:val="5"/>
    <w:qFormat/>
    <w:uiPriority w:val="0"/>
    <w:rPr>
      <w:b/>
      <w:sz w:val="32"/>
    </w:rPr>
  </w:style>
  <w:style w:type="paragraph" w:customStyle="1" w:styleId="3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2">
    <w:name w:val="p2"/>
    <w:basedOn w:val="1"/>
    <w:qFormat/>
    <w:uiPriority w:val="0"/>
    <w:pPr>
      <w:widowControl/>
      <w:spacing w:line="480" w:lineRule="auto"/>
      <w:ind w:firstLine="420"/>
      <w:jc w:val="left"/>
    </w:pPr>
    <w:rPr>
      <w:rFonts w:ascii="宋体" w:hAnsi="宋体" w:cs="宋体"/>
      <w:kern w:val="0"/>
      <w:szCs w:val="21"/>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4">
    <w:name w:val="font81"/>
    <w:basedOn w:val="17"/>
    <w:qFormat/>
    <w:uiPriority w:val="0"/>
    <w:rPr>
      <w:rFonts w:hint="default" w:ascii="Times New Roman" w:hAnsi="Times New Roman" w:cs="Times New Roman"/>
      <w:b/>
      <w:bCs/>
      <w:color w:val="000000"/>
      <w:sz w:val="24"/>
      <w:szCs w:val="24"/>
      <w:u w:val="none"/>
    </w:rPr>
  </w:style>
  <w:style w:type="character" w:customStyle="1" w:styleId="35">
    <w:name w:val="font01"/>
    <w:basedOn w:val="17"/>
    <w:qFormat/>
    <w:uiPriority w:val="0"/>
    <w:rPr>
      <w:rFonts w:hint="eastAsia" w:ascii="宋体" w:hAnsi="宋体" w:eastAsia="宋体" w:cs="宋体"/>
      <w:color w:val="000000"/>
      <w:sz w:val="22"/>
      <w:szCs w:val="22"/>
      <w:u w:val="none"/>
    </w:rPr>
  </w:style>
  <w:style w:type="character" w:customStyle="1" w:styleId="36">
    <w:name w:val="font71"/>
    <w:basedOn w:val="1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19607</Words>
  <Characters>20951</Characters>
  <Lines>0</Lines>
  <Paragraphs>0</Paragraphs>
  <TotalTime>44</TotalTime>
  <ScaleCrop>false</ScaleCrop>
  <LinksUpToDate>false</LinksUpToDate>
  <CharactersWithSpaces>22279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2025-07-21T08:30:00Z</cp:lastPrinted>
  <dcterms:modified xsi:type="dcterms:W3CDTF">2025-08-01T01:45:09Z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0FF8AFC2D1CB4976A05D1DC845347D1B_12</vt:lpwstr>
  </property>
</Properties>
</file>