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C28FE">
      <w:pPr>
        <w:pStyle w:val="23"/>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rPr>
        <w:br w:type="textWrapping"/>
      </w:r>
      <w:r>
        <w:rPr>
          <w:rFonts w:hint="default" w:ascii="Times New Roman" w:hAnsi="Times New Roman" w:cs="Times New Roman"/>
          <w:sz w:val="28"/>
          <w:szCs w:val="28"/>
          <w:lang w:val="en-US" w:eastAsia="zh-CN"/>
        </w:rPr>
        <w:t>参与遴选代理机构须知：</w:t>
      </w:r>
    </w:p>
    <w:p w14:paraId="53AF7F1D">
      <w:pPr>
        <w:pStyle w:val="9"/>
        <w:numPr>
          <w:ilvl w:val="0"/>
          <w:numId w:val="0"/>
        </w:numPr>
        <w:spacing w:line="360" w:lineRule="auto"/>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1、本项目编号默认为：DLZEY2025-001</w:t>
      </w:r>
    </w:p>
    <w:p w14:paraId="3B512421">
      <w:pPr>
        <w:pStyle w:val="9"/>
        <w:numPr>
          <w:ilvl w:val="0"/>
          <w:numId w:val="0"/>
        </w:numPr>
        <w:spacing w:line="360" w:lineRule="auto"/>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2、采购代理机构默认为：某采购代理机构</w:t>
      </w:r>
    </w:p>
    <w:p w14:paraId="76EB70C9">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3、项目名称默认为：XX采购项目</w:t>
      </w:r>
    </w:p>
    <w:p w14:paraId="31E4F7EB">
      <w:pPr>
        <w:rPr>
          <w:rFonts w:hint="default" w:ascii="Times New Roman" w:hAnsi="Times New Roman"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t>4、</w:t>
      </w:r>
      <w:r>
        <w:rPr>
          <w:rFonts w:hint="default" w:ascii="Times New Roman" w:hAnsi="Times New Roman" w:cs="Times New Roman"/>
          <w:kern w:val="2"/>
          <w:sz w:val="28"/>
          <w:szCs w:val="28"/>
          <w:lang w:val="en-US" w:eastAsia="zh-CN" w:bidi="ar-SA"/>
        </w:rPr>
        <w:t>采购人</w:t>
      </w:r>
      <w:r>
        <w:rPr>
          <w:rFonts w:hint="eastAsia" w:cs="Times New Roman"/>
          <w:kern w:val="2"/>
          <w:sz w:val="28"/>
          <w:szCs w:val="28"/>
          <w:lang w:val="en-US" w:eastAsia="zh-CN" w:bidi="ar-SA"/>
        </w:rPr>
        <w:t>：</w:t>
      </w:r>
      <w:r>
        <w:rPr>
          <w:rFonts w:hint="default" w:ascii="Times New Roman" w:hAnsi="Times New Roman" w:cs="Times New Roman"/>
          <w:kern w:val="2"/>
          <w:sz w:val="28"/>
          <w:szCs w:val="28"/>
          <w:lang w:val="en-US" w:eastAsia="zh-CN" w:bidi="ar-SA"/>
        </w:rPr>
        <w:t>大理州第二人民医院</w:t>
      </w:r>
    </w:p>
    <w:p w14:paraId="5C724E4A">
      <w:pPr>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5、本项目采购预算：255.00万元</w:t>
      </w:r>
    </w:p>
    <w:p w14:paraId="39485DC6">
      <w:pPr>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6、本项目最高限价：233.00万元</w:t>
      </w:r>
    </w:p>
    <w:p w14:paraId="49629EFD">
      <w:pPr>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7、本项目属于医疗设备政府采购项目</w:t>
      </w:r>
    </w:p>
    <w:p w14:paraId="4712F477">
      <w:pPr>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8、本项目属于政府采购项目，采购方式：公开招标</w:t>
      </w:r>
    </w:p>
    <w:p w14:paraId="48C491F1">
      <w:pPr>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9、本项目涉及时间用及其他信息用XX代替视为正确。</w:t>
      </w:r>
    </w:p>
    <w:p w14:paraId="4DD02805">
      <w:pPr>
        <w:ind w:firstLine="840" w:firstLineChars="300"/>
        <w:rPr>
          <w:rFonts w:hint="default" w:ascii="Times New Roman" w:hAnsi="Times New Roman" w:cs="Times New Roman"/>
          <w:kern w:val="2"/>
          <w:sz w:val="28"/>
          <w:szCs w:val="28"/>
          <w:lang w:val="en-US" w:eastAsia="zh-CN" w:bidi="ar-SA"/>
        </w:rPr>
      </w:pPr>
    </w:p>
    <w:p w14:paraId="0ACF5F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以下招标文件是某采购代理机构为采购人编制的招标文件，招标文件编制过程可能存在</w:t>
      </w:r>
      <w:r>
        <w:rPr>
          <w:rFonts w:hint="eastAsia" w:ascii="Times New Roman" w:hAnsi="Times New Roman" w:eastAsia="宋体" w:cs="Times New Roman"/>
          <w:b w:val="0"/>
          <w:kern w:val="2"/>
          <w:sz w:val="28"/>
          <w:szCs w:val="28"/>
          <w:lang w:val="en-US" w:eastAsia="zh-CN" w:bidi="ar-SA"/>
        </w:rPr>
        <w:t>歧义或不合规</w:t>
      </w:r>
      <w:r>
        <w:rPr>
          <w:rFonts w:hint="default" w:ascii="Times New Roman" w:hAnsi="Times New Roman" w:eastAsia="宋体" w:cs="Times New Roman"/>
          <w:b w:val="0"/>
          <w:kern w:val="2"/>
          <w:sz w:val="28"/>
          <w:szCs w:val="28"/>
          <w:lang w:val="en-US" w:eastAsia="zh-CN" w:bidi="ar-SA"/>
        </w:rPr>
        <w:t>或错误</w:t>
      </w:r>
      <w:r>
        <w:rPr>
          <w:rFonts w:hint="eastAsia" w:cs="Times New Roman"/>
          <w:b w:val="0"/>
          <w:kern w:val="2"/>
          <w:sz w:val="28"/>
          <w:szCs w:val="28"/>
          <w:lang w:val="en-US" w:eastAsia="zh-CN" w:bidi="ar-SA"/>
        </w:rPr>
        <w:t>。</w:t>
      </w:r>
    </w:p>
    <w:p w14:paraId="1F1AEE8E">
      <w:pPr>
        <w:pStyle w:val="21"/>
        <w:keepNext/>
        <w:keepLines/>
        <w:pageBreakBefore w:val="0"/>
        <w:widowControl w:val="0"/>
        <w:kinsoku/>
        <w:wordWrap/>
        <w:overflowPunct/>
        <w:topLinePunct w:val="0"/>
        <w:autoSpaceDE/>
        <w:autoSpaceDN/>
        <w:bidi w:val="0"/>
        <w:adjustRightInd/>
        <w:snapToGrid/>
        <w:spacing w:before="0" w:after="0" w:line="560" w:lineRule="exact"/>
        <w:ind w:firstLine="560" w:firstLineChars="200"/>
        <w:textAlignment w:val="auto"/>
        <w:rPr>
          <w:rFonts w:hint="default" w:ascii="Times New Roman" w:hAnsi="Times New Roman" w:eastAsia="宋体" w:cs="Times New Roman"/>
          <w:b w:val="0"/>
          <w:kern w:val="2"/>
          <w:sz w:val="28"/>
          <w:szCs w:val="28"/>
          <w:lang w:val="en-US" w:eastAsia="zh-CN" w:bidi="ar-SA"/>
        </w:rPr>
      </w:pPr>
    </w:p>
    <w:p w14:paraId="027FE435">
      <w:pPr>
        <w:pStyle w:val="23"/>
        <w:rPr>
          <w:rFonts w:hint="default" w:ascii="Times New Roman" w:hAnsi="Times New Roman" w:cs="Times New Roman"/>
          <w:sz w:val="28"/>
          <w:szCs w:val="28"/>
          <w:lang w:val="en-US" w:eastAsia="zh-CN"/>
        </w:rPr>
      </w:pPr>
    </w:p>
    <w:p w14:paraId="051FA335">
      <w:pPr>
        <w:pStyle w:val="9"/>
        <w:jc w:val="center"/>
        <w:rPr>
          <w:rFonts w:hint="default" w:ascii="Times New Roman" w:hAnsi="Times New Roman" w:cs="Times New Roman"/>
          <w:b/>
          <w:bCs/>
          <w:color w:val="000000"/>
          <w:sz w:val="28"/>
          <w:szCs w:val="28"/>
          <w:highlight w:val="yellow"/>
        </w:rPr>
      </w:pPr>
    </w:p>
    <w:p w14:paraId="56279CEB">
      <w:pPr>
        <w:pStyle w:val="9"/>
        <w:jc w:val="center"/>
        <w:rPr>
          <w:rFonts w:hint="default" w:ascii="Times New Roman" w:hAnsi="Times New Roman" w:cs="Times New Roman"/>
          <w:b/>
          <w:bCs/>
          <w:color w:val="000000"/>
          <w:sz w:val="28"/>
          <w:szCs w:val="28"/>
          <w:highlight w:val="yellow"/>
        </w:rPr>
      </w:pPr>
    </w:p>
    <w:p w14:paraId="3EFE8804">
      <w:pPr>
        <w:pStyle w:val="9"/>
        <w:jc w:val="center"/>
        <w:rPr>
          <w:rFonts w:hint="default" w:ascii="Times New Roman" w:hAnsi="Times New Roman" w:cs="Times New Roman"/>
          <w:b/>
          <w:bCs/>
          <w:color w:val="000000"/>
          <w:sz w:val="28"/>
          <w:szCs w:val="28"/>
          <w:highlight w:val="yellow"/>
        </w:rPr>
      </w:pPr>
    </w:p>
    <w:p w14:paraId="6DD76864">
      <w:pPr>
        <w:pStyle w:val="9"/>
        <w:jc w:val="center"/>
        <w:rPr>
          <w:rFonts w:hint="default" w:ascii="Times New Roman" w:hAnsi="Times New Roman" w:cs="Times New Roman"/>
          <w:b/>
          <w:bCs/>
          <w:color w:val="000000"/>
          <w:sz w:val="28"/>
          <w:szCs w:val="28"/>
          <w:highlight w:val="yellow"/>
        </w:rPr>
      </w:pPr>
    </w:p>
    <w:p w14:paraId="2666A64A">
      <w:pPr>
        <w:pStyle w:val="9"/>
        <w:jc w:val="center"/>
        <w:rPr>
          <w:rFonts w:hint="default" w:ascii="Times New Roman" w:hAnsi="Times New Roman" w:cs="Times New Roman"/>
          <w:b/>
          <w:bCs/>
          <w:color w:val="000000"/>
          <w:sz w:val="28"/>
          <w:szCs w:val="28"/>
          <w:highlight w:val="yellow"/>
        </w:rPr>
      </w:pPr>
    </w:p>
    <w:p w14:paraId="4F31E4D8">
      <w:pPr>
        <w:pStyle w:val="9"/>
        <w:jc w:val="center"/>
        <w:rPr>
          <w:rFonts w:hint="default" w:ascii="Times New Roman" w:hAnsi="Times New Roman" w:cs="Times New Roman"/>
          <w:b/>
          <w:bCs/>
          <w:color w:val="000000"/>
          <w:sz w:val="28"/>
          <w:szCs w:val="28"/>
          <w:highlight w:val="yellow"/>
        </w:rPr>
      </w:pPr>
    </w:p>
    <w:p w14:paraId="4D515B6E">
      <w:pPr>
        <w:pStyle w:val="9"/>
        <w:jc w:val="center"/>
        <w:rPr>
          <w:rFonts w:hint="default" w:ascii="Times New Roman" w:hAnsi="Times New Roman" w:cs="Times New Roman"/>
          <w:b/>
          <w:bCs/>
          <w:color w:val="000000"/>
          <w:sz w:val="28"/>
          <w:szCs w:val="28"/>
          <w:highlight w:val="yellow"/>
        </w:rPr>
      </w:pPr>
    </w:p>
    <w:p w14:paraId="5C518BE3">
      <w:pPr>
        <w:pStyle w:val="9"/>
        <w:jc w:val="center"/>
        <w:rPr>
          <w:rFonts w:hint="default" w:ascii="Times New Roman" w:hAnsi="Times New Roman" w:cs="Times New Roman"/>
          <w:b/>
          <w:bCs/>
          <w:color w:val="000000"/>
          <w:sz w:val="28"/>
          <w:szCs w:val="28"/>
          <w:highlight w:val="yellow"/>
        </w:rPr>
      </w:pPr>
    </w:p>
    <w:p w14:paraId="0A73BDDE">
      <w:pPr>
        <w:pStyle w:val="9"/>
        <w:jc w:val="center"/>
        <w:rPr>
          <w:rFonts w:hint="default" w:ascii="Times New Roman" w:hAnsi="Times New Roman" w:cs="Times New Roman"/>
          <w:b/>
          <w:bCs/>
          <w:color w:val="000000"/>
          <w:sz w:val="28"/>
          <w:szCs w:val="28"/>
          <w:highlight w:val="yellow"/>
        </w:rPr>
      </w:pPr>
    </w:p>
    <w:p w14:paraId="2A84E2ED">
      <w:pPr>
        <w:pStyle w:val="9"/>
        <w:jc w:val="center"/>
        <w:rPr>
          <w:rFonts w:hint="default" w:ascii="Times New Roman" w:hAnsi="Times New Roman" w:cs="Times New Roman"/>
          <w:b/>
          <w:bCs/>
          <w:color w:val="000000"/>
          <w:sz w:val="28"/>
          <w:szCs w:val="28"/>
          <w:highlight w:val="yellow"/>
        </w:rPr>
      </w:pPr>
    </w:p>
    <w:p w14:paraId="16C3B2AE">
      <w:pPr>
        <w:pStyle w:val="9"/>
        <w:jc w:val="center"/>
        <w:rPr>
          <w:rFonts w:hint="default" w:ascii="Times New Roman" w:hAnsi="Times New Roman" w:cs="Times New Roman"/>
          <w:b/>
          <w:bCs/>
          <w:color w:val="000000"/>
          <w:sz w:val="28"/>
          <w:szCs w:val="28"/>
          <w:highlight w:val="yellow"/>
        </w:rPr>
      </w:pPr>
    </w:p>
    <w:p w14:paraId="4902B9E5">
      <w:pPr>
        <w:pStyle w:val="9"/>
        <w:jc w:val="center"/>
        <w:rPr>
          <w:rFonts w:hint="default" w:ascii="Times New Roman" w:hAnsi="Times New Roman" w:cs="Times New Roman"/>
          <w:b/>
          <w:bCs/>
          <w:color w:val="000000"/>
          <w:sz w:val="28"/>
          <w:szCs w:val="28"/>
          <w:highlight w:val="yellow"/>
        </w:rPr>
      </w:pPr>
    </w:p>
    <w:p w14:paraId="1C69B77F">
      <w:pPr>
        <w:pStyle w:val="9"/>
        <w:jc w:val="center"/>
        <w:rPr>
          <w:rFonts w:hint="default" w:ascii="Times New Roman" w:hAnsi="Times New Roman" w:cs="Times New Roman"/>
          <w:b/>
          <w:bCs/>
          <w:color w:val="000000"/>
          <w:sz w:val="28"/>
          <w:szCs w:val="28"/>
          <w:highlight w:val="yellow"/>
        </w:rPr>
      </w:pPr>
    </w:p>
    <w:p w14:paraId="54A5DB3B">
      <w:pPr>
        <w:pStyle w:val="9"/>
        <w:jc w:val="center"/>
        <w:rPr>
          <w:rFonts w:hint="default" w:ascii="Times New Roman" w:hAnsi="Times New Roman" w:cs="Times New Roman"/>
          <w:b/>
          <w:bCs/>
          <w:color w:val="000000"/>
          <w:sz w:val="28"/>
          <w:szCs w:val="28"/>
          <w:highlight w:val="yellow"/>
        </w:rPr>
      </w:pPr>
    </w:p>
    <w:p w14:paraId="69620B26">
      <w:pPr>
        <w:pStyle w:val="9"/>
        <w:jc w:val="center"/>
        <w:rPr>
          <w:rFonts w:hint="default" w:ascii="Times New Roman" w:hAnsi="Times New Roman" w:cs="Times New Roman"/>
          <w:b/>
          <w:bCs/>
          <w:color w:val="000000"/>
          <w:sz w:val="28"/>
          <w:szCs w:val="28"/>
          <w:highlight w:val="yellow"/>
        </w:rPr>
      </w:pPr>
    </w:p>
    <w:p w14:paraId="716897F1">
      <w:pPr>
        <w:pStyle w:val="9"/>
        <w:jc w:val="center"/>
        <w:rPr>
          <w:rFonts w:hint="default" w:ascii="Times New Roman" w:hAnsi="Times New Roman" w:cs="Times New Roman"/>
          <w:b/>
          <w:bCs/>
          <w:color w:val="000000"/>
          <w:sz w:val="28"/>
          <w:szCs w:val="28"/>
          <w:highlight w:val="yellow"/>
        </w:rPr>
      </w:pPr>
    </w:p>
    <w:p w14:paraId="0B4E2B3A">
      <w:pPr>
        <w:pStyle w:val="9"/>
        <w:jc w:val="center"/>
        <w:rPr>
          <w:rFonts w:hint="default" w:ascii="Times New Roman" w:hAnsi="Times New Roman" w:cs="Times New Roman"/>
          <w:b/>
          <w:bCs/>
          <w:color w:val="000000"/>
          <w:sz w:val="28"/>
          <w:szCs w:val="28"/>
          <w:highlight w:val="yellow"/>
        </w:rPr>
      </w:pPr>
    </w:p>
    <w:p w14:paraId="4BD92313">
      <w:pPr>
        <w:pStyle w:val="9"/>
        <w:jc w:val="center"/>
        <w:rPr>
          <w:rFonts w:hint="default" w:ascii="Times New Roman" w:hAnsi="Times New Roman" w:cs="Times New Roman"/>
          <w:b/>
          <w:bCs/>
          <w:color w:val="000000"/>
          <w:sz w:val="28"/>
          <w:szCs w:val="28"/>
          <w:highlight w:val="yellow"/>
        </w:rPr>
      </w:pPr>
    </w:p>
    <w:p w14:paraId="0DDB5E1B">
      <w:pPr>
        <w:pStyle w:val="9"/>
        <w:jc w:val="center"/>
        <w:rPr>
          <w:rFonts w:hint="default" w:ascii="Times New Roman" w:hAnsi="Times New Roman" w:cs="Times New Roman"/>
          <w:b/>
          <w:bCs/>
          <w:color w:val="000000"/>
          <w:sz w:val="28"/>
          <w:szCs w:val="28"/>
          <w:highlight w:val="yellow"/>
        </w:rPr>
      </w:pPr>
    </w:p>
    <w:p w14:paraId="2B993388">
      <w:pPr>
        <w:pStyle w:val="9"/>
        <w:jc w:val="center"/>
        <w:rPr>
          <w:rFonts w:hint="default" w:ascii="Times New Roman" w:hAnsi="Times New Roman" w:cs="Times New Roman"/>
          <w:b/>
          <w:bCs/>
          <w:color w:val="000000"/>
          <w:sz w:val="28"/>
          <w:szCs w:val="28"/>
          <w:highlight w:val="yellow"/>
        </w:rPr>
      </w:pPr>
    </w:p>
    <w:p w14:paraId="5000CF6E">
      <w:pPr>
        <w:pStyle w:val="9"/>
        <w:jc w:val="center"/>
        <w:rPr>
          <w:rFonts w:hint="default" w:ascii="Times New Roman" w:hAnsi="Times New Roman" w:cs="Times New Roman"/>
          <w:b/>
          <w:bCs/>
          <w:color w:val="000000"/>
          <w:sz w:val="28"/>
          <w:szCs w:val="28"/>
          <w:highlight w:val="yellow"/>
        </w:rPr>
      </w:pPr>
    </w:p>
    <w:p w14:paraId="0278024C">
      <w:pPr>
        <w:rPr>
          <w:rFonts w:hint="default" w:ascii="Times New Roman" w:hAnsi="Times New Roman" w:cs="Times New Roman"/>
          <w:color w:val="auto"/>
          <w:highlight w:val="none"/>
        </w:rPr>
      </w:pPr>
    </w:p>
    <w:p w14:paraId="1579C7E0">
      <w:pPr>
        <w:pStyle w:val="9"/>
        <w:jc w:val="center"/>
        <w:rPr>
          <w:rFonts w:hint="default" w:ascii="Times New Roman" w:hAnsi="Times New Roman" w:eastAsia="宋体" w:cs="Times New Roman"/>
          <w:bCs/>
          <w:color w:val="000000"/>
          <w:sz w:val="28"/>
          <w:szCs w:val="28"/>
          <w:lang w:eastAsia="zh-CN"/>
        </w:rPr>
      </w:pPr>
      <w:r>
        <w:rPr>
          <w:rFonts w:hint="default" w:ascii="Times New Roman" w:hAnsi="Times New Roman" w:cs="Times New Roman"/>
          <w:b/>
          <w:bCs/>
          <w:color w:val="auto"/>
          <w:sz w:val="28"/>
          <w:szCs w:val="28"/>
          <w:highlight w:val="none"/>
          <w:lang w:eastAsia="zh-CN"/>
        </w:rPr>
        <w:t>XX采购项目</w:t>
      </w:r>
    </w:p>
    <w:p w14:paraId="7BF5A1C1">
      <w:pPr>
        <w:pStyle w:val="9"/>
        <w:spacing w:line="360" w:lineRule="auto"/>
        <w:rPr>
          <w:rFonts w:hint="default" w:ascii="Times New Roman" w:hAnsi="Times New Roman" w:cs="Times New Roman"/>
          <w:b/>
          <w:bCs/>
          <w:color w:val="000000"/>
          <w:sz w:val="28"/>
          <w:szCs w:val="28"/>
        </w:rPr>
      </w:pPr>
    </w:p>
    <w:p w14:paraId="194B70F6">
      <w:pPr>
        <w:rPr>
          <w:rFonts w:hint="default" w:ascii="Times New Roman" w:hAnsi="Times New Roman" w:cs="Times New Roman"/>
          <w:sz w:val="28"/>
          <w:szCs w:val="28"/>
        </w:rPr>
      </w:pPr>
    </w:p>
    <w:p w14:paraId="7E394CFA">
      <w:pPr>
        <w:rPr>
          <w:rFonts w:hint="default" w:ascii="Times New Roman" w:hAnsi="Times New Roman" w:cs="Times New Roman"/>
          <w:sz w:val="28"/>
          <w:szCs w:val="28"/>
        </w:rPr>
      </w:pPr>
    </w:p>
    <w:p w14:paraId="774B1B30">
      <w:pPr>
        <w:rPr>
          <w:rFonts w:hint="default" w:ascii="Times New Roman" w:hAnsi="Times New Roman" w:cs="Times New Roman"/>
          <w:sz w:val="28"/>
          <w:szCs w:val="28"/>
        </w:rPr>
      </w:pPr>
    </w:p>
    <w:p w14:paraId="175EF0C2">
      <w:pPr>
        <w:rPr>
          <w:rFonts w:hint="default" w:ascii="Times New Roman" w:hAnsi="Times New Roman" w:cs="Times New Roman"/>
          <w:sz w:val="28"/>
          <w:szCs w:val="28"/>
        </w:rPr>
      </w:pPr>
    </w:p>
    <w:p w14:paraId="304700BE">
      <w:pPr>
        <w:rPr>
          <w:rFonts w:hint="default" w:ascii="Times New Roman" w:hAnsi="Times New Roman" w:cs="Times New Roman"/>
          <w:color w:val="000000"/>
          <w:sz w:val="28"/>
          <w:szCs w:val="28"/>
        </w:rPr>
      </w:pPr>
    </w:p>
    <w:p w14:paraId="2EF450B1">
      <w:pPr>
        <w:pStyle w:val="9"/>
        <w:spacing w:line="36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eastAsia="zh-CN"/>
        </w:rPr>
        <w:t>招标</w:t>
      </w:r>
      <w:r>
        <w:rPr>
          <w:rFonts w:hint="default" w:ascii="Times New Roman" w:hAnsi="Times New Roman" w:cs="Times New Roman"/>
          <w:b/>
          <w:bCs/>
          <w:color w:val="000000"/>
          <w:sz w:val="28"/>
          <w:szCs w:val="28"/>
        </w:rPr>
        <w:t>文件</w:t>
      </w:r>
    </w:p>
    <w:p w14:paraId="6DC85DB4">
      <w:pPr>
        <w:rPr>
          <w:rFonts w:hint="default" w:ascii="Times New Roman" w:hAnsi="Times New Roman" w:cs="Times New Roman"/>
          <w:sz w:val="28"/>
          <w:szCs w:val="28"/>
        </w:rPr>
      </w:pPr>
    </w:p>
    <w:p w14:paraId="3ABFC691">
      <w:pPr>
        <w:pStyle w:val="9"/>
        <w:spacing w:line="360" w:lineRule="auto"/>
        <w:jc w:val="center"/>
        <w:rPr>
          <w:rFonts w:hint="default" w:ascii="Times New Roman" w:hAnsi="Times New Roman" w:eastAsia="宋体" w:cs="Times New Roman"/>
          <w:b/>
          <w:bCs/>
          <w:color w:val="000000"/>
          <w:sz w:val="28"/>
          <w:szCs w:val="28"/>
          <w:u w:val="single"/>
          <w:lang w:val="en-US" w:eastAsia="zh-CN"/>
        </w:rPr>
      </w:pPr>
      <w:r>
        <w:rPr>
          <w:rFonts w:hint="default" w:ascii="Times New Roman" w:hAnsi="Times New Roman" w:cs="Times New Roman"/>
          <w:b/>
          <w:bCs/>
          <w:color w:val="000000"/>
          <w:sz w:val="28"/>
          <w:szCs w:val="28"/>
        </w:rPr>
        <w:t>项目编号：</w:t>
      </w:r>
      <w:r>
        <w:rPr>
          <w:rFonts w:hint="default" w:ascii="Times New Roman" w:hAnsi="Times New Roman" w:cs="Times New Roman"/>
          <w:b/>
          <w:bCs/>
          <w:color w:val="000000"/>
          <w:sz w:val="28"/>
          <w:szCs w:val="28"/>
          <w:lang w:val="en-US" w:eastAsia="zh-CN"/>
        </w:rPr>
        <w:t>DLZEY2025-001</w:t>
      </w:r>
    </w:p>
    <w:p w14:paraId="6A316C09">
      <w:pPr>
        <w:pStyle w:val="9"/>
        <w:spacing w:line="360" w:lineRule="auto"/>
        <w:rPr>
          <w:rFonts w:hint="default" w:ascii="Times New Roman" w:hAnsi="Times New Roman" w:cs="Times New Roman"/>
          <w:color w:val="000000"/>
          <w:sz w:val="28"/>
          <w:szCs w:val="28"/>
        </w:rPr>
      </w:pPr>
    </w:p>
    <w:p w14:paraId="050A7A6D">
      <w:pPr>
        <w:pStyle w:val="9"/>
        <w:spacing w:line="360" w:lineRule="auto"/>
        <w:rPr>
          <w:rFonts w:hint="default" w:ascii="Times New Roman" w:hAnsi="Times New Roman" w:cs="Times New Roman"/>
          <w:color w:val="000000"/>
          <w:sz w:val="28"/>
          <w:szCs w:val="28"/>
        </w:rPr>
      </w:pPr>
    </w:p>
    <w:p w14:paraId="7E076350">
      <w:pPr>
        <w:pStyle w:val="9"/>
        <w:spacing w:line="360" w:lineRule="auto"/>
        <w:rPr>
          <w:rFonts w:hint="default" w:ascii="Times New Roman" w:hAnsi="Times New Roman" w:cs="Times New Roman"/>
          <w:color w:val="000000"/>
          <w:sz w:val="28"/>
          <w:szCs w:val="28"/>
        </w:rPr>
      </w:pPr>
    </w:p>
    <w:p w14:paraId="7C79EB58">
      <w:pPr>
        <w:rPr>
          <w:rFonts w:hint="default" w:ascii="Times New Roman" w:hAnsi="Times New Roman" w:cs="Times New Roman"/>
          <w:color w:val="000000"/>
          <w:sz w:val="28"/>
          <w:szCs w:val="28"/>
        </w:rPr>
      </w:pPr>
    </w:p>
    <w:p w14:paraId="6C4695C3">
      <w:pPr>
        <w:rPr>
          <w:rFonts w:hint="default" w:ascii="Times New Roman" w:hAnsi="Times New Roman" w:cs="Times New Roman"/>
          <w:color w:val="000000"/>
          <w:sz w:val="28"/>
          <w:szCs w:val="28"/>
        </w:rPr>
      </w:pPr>
    </w:p>
    <w:p w14:paraId="6AEC5159">
      <w:pPr>
        <w:rPr>
          <w:rFonts w:hint="default" w:ascii="Times New Roman" w:hAnsi="Times New Roman" w:cs="Times New Roman"/>
          <w:color w:val="000000"/>
          <w:sz w:val="28"/>
          <w:szCs w:val="28"/>
        </w:rPr>
      </w:pPr>
    </w:p>
    <w:p w14:paraId="06F9B8C0">
      <w:pPr>
        <w:pStyle w:val="9"/>
        <w:spacing w:line="36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采购人：大理州第二人民医院</w:t>
      </w:r>
    </w:p>
    <w:p w14:paraId="35314324">
      <w:pPr>
        <w:pStyle w:val="9"/>
        <w:spacing w:line="360" w:lineRule="auto"/>
        <w:jc w:val="center"/>
        <w:rPr>
          <w:rFonts w:hint="default" w:ascii="Times New Roman" w:hAnsi="Times New Roman" w:eastAsia="宋体" w:cs="Times New Roman"/>
          <w:b/>
          <w:bCs/>
          <w:color w:val="000000"/>
          <w:sz w:val="28"/>
          <w:szCs w:val="28"/>
          <w:lang w:val="en-US" w:eastAsia="zh-CN"/>
        </w:rPr>
      </w:pPr>
      <w:r>
        <w:rPr>
          <w:rFonts w:hint="default" w:ascii="Times New Roman" w:hAnsi="Times New Roman" w:cs="Times New Roman"/>
          <w:b/>
          <w:bCs/>
          <w:color w:val="000000"/>
          <w:sz w:val="28"/>
          <w:szCs w:val="28"/>
        </w:rPr>
        <w:t>采购代理机构：</w:t>
      </w:r>
      <w:r>
        <w:rPr>
          <w:rFonts w:hint="default" w:ascii="Times New Roman" w:hAnsi="Times New Roman" w:cs="Times New Roman"/>
          <w:b/>
          <w:bCs/>
          <w:color w:val="000000"/>
          <w:sz w:val="28"/>
          <w:szCs w:val="28"/>
          <w:lang w:val="en-US" w:eastAsia="zh-CN"/>
        </w:rPr>
        <w:t>某采购代理机构</w:t>
      </w:r>
    </w:p>
    <w:p w14:paraId="3DE9880E">
      <w:pPr>
        <w:pStyle w:val="9"/>
        <w:spacing w:line="36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日期:</w:t>
      </w:r>
      <w:r>
        <w:rPr>
          <w:rFonts w:hint="default" w:ascii="Times New Roman" w:hAnsi="Times New Roman" w:cs="Times New Roman"/>
          <w:b/>
          <w:bCs/>
          <w:color w:val="000000"/>
          <w:sz w:val="28"/>
          <w:szCs w:val="28"/>
          <w:lang w:val="en-US" w:eastAsia="zh-CN"/>
        </w:rPr>
        <w:t>XXXX</w:t>
      </w:r>
      <w:r>
        <w:rPr>
          <w:rFonts w:hint="default" w:ascii="Times New Roman" w:hAnsi="Times New Roman" w:cs="Times New Roman"/>
          <w:b/>
          <w:bCs/>
          <w:color w:val="000000"/>
          <w:sz w:val="28"/>
          <w:szCs w:val="28"/>
        </w:rPr>
        <w:t>年</w:t>
      </w:r>
      <w:r>
        <w:rPr>
          <w:rFonts w:hint="default" w:ascii="Times New Roman" w:hAnsi="Times New Roman" w:cs="Times New Roman"/>
          <w:b/>
          <w:bCs/>
          <w:color w:val="000000"/>
          <w:sz w:val="28"/>
          <w:szCs w:val="28"/>
          <w:lang w:val="en-US" w:eastAsia="zh-CN"/>
        </w:rPr>
        <w:t>XX</w:t>
      </w:r>
      <w:r>
        <w:rPr>
          <w:rFonts w:hint="default" w:ascii="Times New Roman" w:hAnsi="Times New Roman" w:cs="Times New Roman"/>
          <w:b/>
          <w:bCs/>
          <w:color w:val="000000"/>
          <w:sz w:val="28"/>
          <w:szCs w:val="28"/>
        </w:rPr>
        <w:t>月</w:t>
      </w:r>
    </w:p>
    <w:p w14:paraId="7F205C28">
      <w:pPr>
        <w:rPr>
          <w:rFonts w:hint="default" w:ascii="Times New Roman" w:hAnsi="Times New Roman" w:cs="Times New Roman"/>
          <w:b/>
          <w:bCs/>
          <w:color w:val="000000"/>
          <w:sz w:val="28"/>
          <w:szCs w:val="28"/>
        </w:rPr>
      </w:pPr>
    </w:p>
    <w:p w14:paraId="6A911AFD">
      <w:pPr>
        <w:rPr>
          <w:rFonts w:hint="default" w:ascii="Times New Roman" w:hAnsi="Times New Roman" w:cs="Times New Roman"/>
          <w:b/>
          <w:bCs/>
          <w:color w:val="000000"/>
          <w:sz w:val="28"/>
          <w:szCs w:val="28"/>
        </w:rPr>
      </w:pPr>
    </w:p>
    <w:p w14:paraId="2BA004E2">
      <w:pPr>
        <w:rPr>
          <w:rFonts w:hint="default" w:ascii="Times New Roman" w:hAnsi="Times New Roman" w:cs="Times New Roman"/>
          <w:b/>
          <w:bCs/>
          <w:color w:val="000000"/>
          <w:sz w:val="28"/>
          <w:szCs w:val="28"/>
        </w:rPr>
      </w:pPr>
    </w:p>
    <w:p w14:paraId="78DDB5A3">
      <w:pPr>
        <w:rPr>
          <w:rFonts w:hint="default" w:ascii="Times New Roman" w:hAnsi="Times New Roman" w:cs="Times New Roman"/>
          <w:b/>
          <w:bCs/>
          <w:color w:val="000000"/>
          <w:sz w:val="28"/>
          <w:szCs w:val="28"/>
        </w:rPr>
      </w:pPr>
    </w:p>
    <w:p w14:paraId="3E4E47B5">
      <w:pPr>
        <w:rPr>
          <w:rFonts w:hint="default" w:ascii="Times New Roman" w:hAnsi="Times New Roman" w:cs="Times New Roman"/>
          <w:b/>
          <w:bCs/>
          <w:color w:val="000000"/>
          <w:sz w:val="28"/>
          <w:szCs w:val="28"/>
        </w:rPr>
      </w:pPr>
    </w:p>
    <w:p w14:paraId="29B52B6A">
      <w:pPr>
        <w:rPr>
          <w:rFonts w:hint="default" w:ascii="Times New Roman" w:hAnsi="Times New Roman" w:cs="Times New Roman"/>
          <w:b/>
          <w:bCs/>
          <w:color w:val="000000"/>
          <w:sz w:val="28"/>
          <w:szCs w:val="28"/>
        </w:rPr>
      </w:pPr>
    </w:p>
    <w:p w14:paraId="71CD95BF">
      <w:pPr>
        <w:rPr>
          <w:rFonts w:hint="default" w:ascii="Times New Roman" w:hAnsi="Times New Roman" w:cs="Times New Roman"/>
          <w:b/>
          <w:bCs/>
          <w:color w:val="000000"/>
          <w:sz w:val="28"/>
          <w:szCs w:val="28"/>
        </w:rPr>
      </w:pPr>
    </w:p>
    <w:p w14:paraId="1A14E1CF">
      <w:pPr>
        <w:rPr>
          <w:rFonts w:hint="default" w:ascii="Times New Roman" w:hAnsi="Times New Roman" w:cs="Times New Roman"/>
          <w:b/>
          <w:bCs/>
          <w:color w:val="000000"/>
          <w:sz w:val="28"/>
          <w:szCs w:val="28"/>
        </w:rPr>
      </w:pPr>
    </w:p>
    <w:p w14:paraId="74D3D6D5">
      <w:pPr>
        <w:pStyle w:val="2"/>
        <w:rPr>
          <w:rFonts w:hint="default" w:ascii="Times New Roman" w:hAnsi="Times New Roman" w:cs="Times New Roman"/>
          <w:b/>
          <w:bCs/>
          <w:color w:val="000000"/>
          <w:sz w:val="28"/>
          <w:szCs w:val="28"/>
        </w:rPr>
      </w:pPr>
    </w:p>
    <w:p w14:paraId="54ABAA3D">
      <w:pPr>
        <w:pStyle w:val="2"/>
        <w:rPr>
          <w:rFonts w:hint="default" w:ascii="Times New Roman" w:hAnsi="Times New Roman" w:cs="Times New Roman"/>
          <w:b/>
          <w:bCs/>
          <w:color w:val="000000"/>
          <w:sz w:val="28"/>
          <w:szCs w:val="28"/>
        </w:rPr>
      </w:pPr>
    </w:p>
    <w:p w14:paraId="021AD966">
      <w:pPr>
        <w:rPr>
          <w:rFonts w:hint="default" w:ascii="Times New Roman" w:hAnsi="Times New Roman" w:cs="Times New Roman"/>
          <w:b/>
          <w:bCs/>
          <w:color w:val="000000"/>
          <w:sz w:val="28"/>
          <w:szCs w:val="28"/>
        </w:rPr>
      </w:pPr>
    </w:p>
    <w:p w14:paraId="3799AE25">
      <w:pPr>
        <w:rPr>
          <w:rFonts w:hint="default" w:ascii="Times New Roman" w:hAnsi="Times New Roman" w:cs="Times New Roman"/>
          <w:b/>
          <w:bCs/>
          <w:color w:val="000000"/>
          <w:sz w:val="28"/>
          <w:szCs w:val="28"/>
        </w:rPr>
      </w:pPr>
    </w:p>
    <w:p w14:paraId="53131106">
      <w:pPr>
        <w:pStyle w:val="3"/>
        <w:tabs>
          <w:tab w:val="left" w:pos="972"/>
          <w:tab w:val="center" w:pos="4819"/>
          <w:tab w:val="center" w:pos="4873"/>
        </w:tabs>
        <w:spacing w:before="0" w:after="0" w:line="360" w:lineRule="auto"/>
        <w:jc w:val="center"/>
        <w:rPr>
          <w:rFonts w:hint="eastAsia" w:ascii="Times New Roman" w:hAnsi="Times New Roman" w:eastAsia="仿宋_GB2312" w:cs="Times New Roman"/>
          <w:b/>
          <w:bCs w:val="0"/>
          <w:kern w:val="0"/>
          <w:sz w:val="28"/>
          <w:szCs w:val="28"/>
          <w:lang w:val="en-US" w:eastAsia="zh-Hans"/>
        </w:rPr>
      </w:pPr>
      <w:bookmarkStart w:id="0" w:name="_Toc1850"/>
      <w:r>
        <w:rPr>
          <w:rFonts w:hint="eastAsia" w:ascii="Times New Roman" w:hAnsi="Times New Roman" w:eastAsia="仿宋_GB2312" w:cs="Times New Roman"/>
          <w:b/>
          <w:bCs w:val="0"/>
          <w:kern w:val="0"/>
          <w:sz w:val="28"/>
          <w:szCs w:val="28"/>
          <w:lang w:val="en-US" w:eastAsia="zh-Hans"/>
        </w:rPr>
        <w:t>第一章 招标公告</w:t>
      </w:r>
      <w:bookmarkEnd w:id="0"/>
    </w:p>
    <w:p w14:paraId="5C456E38">
      <w:pPr>
        <w:spacing w:before="120" w:beforeLines="50" w:line="360" w:lineRule="auto"/>
        <w:jc w:val="center"/>
        <w:rPr>
          <w:rFonts w:hint="default" w:ascii="宋体" w:hAnsi="宋体" w:eastAsia="宋体" w:cs="宋体"/>
          <w:b w:val="0"/>
          <w:bCs w:val="0"/>
          <w:color w:val="000000" w:themeColor="text1"/>
          <w:sz w:val="32"/>
          <w:lang w:val="en-US" w:eastAsia="zh-CN"/>
          <w14:textFill>
            <w14:solidFill>
              <w14:schemeClr w14:val="tx1"/>
            </w14:solidFill>
          </w14:textFill>
        </w:rPr>
      </w:pPr>
      <w:r>
        <w:rPr>
          <w:rFonts w:hint="eastAsia" w:ascii="宋体" w:hAnsi="宋体" w:cs="宋体"/>
          <w:b w:val="0"/>
          <w:bCs w:val="0"/>
          <w:color w:val="000000" w:themeColor="text1"/>
          <w:sz w:val="28"/>
          <w:szCs w:val="20"/>
          <w:lang w:val="en-US" w:eastAsia="zh-CN"/>
          <w14:textFill>
            <w14:solidFill>
              <w14:schemeClr w14:val="tx1"/>
            </w14:solidFill>
          </w14:textFill>
        </w:rPr>
        <w:t>XX采购项目公开招标公告</w:t>
      </w:r>
    </w:p>
    <w:tbl>
      <w:tblPr>
        <w:tblStyle w:val="16"/>
        <w:tblW w:w="980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5"/>
      </w:tblGrid>
      <w:tr w14:paraId="4974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805" w:type="dxa"/>
          </w:tcPr>
          <w:p w14:paraId="27E0EF74">
            <w:pPr>
              <w:pageBreakBefore w:val="0"/>
              <w:kinsoku/>
              <w:wordWrap/>
              <w:overflowPunct/>
              <w:topLinePunct w:val="0"/>
              <w:bidi w:val="0"/>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bookmarkStart w:id="1" w:name="_Hlk20135437"/>
            <w:r>
              <w:rPr>
                <w:rFonts w:hint="eastAsia" w:ascii="Times New Roman" w:hAnsi="Times New Roman" w:eastAsia="仿宋_GB2312" w:cs="Times New Roman"/>
                <w:sz w:val="28"/>
                <w:szCs w:val="28"/>
                <w:lang w:val="en-US" w:eastAsia="zh-CN"/>
              </w:rPr>
              <w:t>项目概况</w:t>
            </w:r>
          </w:p>
          <w:p w14:paraId="2ED14CE8">
            <w:pPr>
              <w:pageBreakBefore w:val="0"/>
              <w:kinsoku/>
              <w:wordWrap/>
              <w:overflowPunct/>
              <w:topLinePunct w:val="0"/>
              <w:bidi w:val="0"/>
              <w:snapToGrid/>
              <w:spacing w:line="460" w:lineRule="exact"/>
              <w:ind w:firstLine="56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imes New Roman" w:hAnsi="Times New Roman" w:eastAsia="仿宋_GB2312" w:cs="Times New Roman"/>
                <w:sz w:val="28"/>
                <w:szCs w:val="28"/>
                <w:lang w:val="en-US" w:eastAsia="zh-CN"/>
              </w:rPr>
              <w:t>XX采购项目招标项目的潜在投标人应在政采云平台（http：//www.zcygov.cn）获取招标文件，并于XXXX年XX月XX日09点30分（北京时间）前递交投标文件。</w:t>
            </w:r>
          </w:p>
        </w:tc>
      </w:tr>
      <w:bookmarkEnd w:id="1"/>
    </w:tbl>
    <w:p w14:paraId="75BF4840">
      <w:pPr>
        <w:keepNext/>
        <w:keepLines/>
        <w:pageBreakBefore w:val="0"/>
        <w:widowControl w:val="0"/>
        <w:kinsoku/>
        <w:wordWrap/>
        <w:overflowPunct/>
        <w:topLinePunct w:val="0"/>
        <w:bidi w:val="0"/>
        <w:snapToGrid/>
        <w:spacing w:line="460" w:lineRule="exact"/>
        <w:ind w:firstLine="420"/>
        <w:textAlignment w:val="auto"/>
        <w:outlineLvl w:val="1"/>
        <w:rPr>
          <w:rFonts w:hint="eastAsia" w:ascii="Times New Roman" w:hAnsi="Times New Roman" w:eastAsia="仿宋_GB2312" w:cs="Times New Roman"/>
          <w:b/>
          <w:kern w:val="0"/>
          <w:sz w:val="28"/>
          <w:szCs w:val="28"/>
          <w:lang w:val="en-US" w:eastAsia="zh-CN"/>
        </w:rPr>
      </w:pPr>
      <w:bookmarkStart w:id="2" w:name="_Toc27939"/>
      <w:bookmarkStart w:id="3" w:name="_Toc31235"/>
      <w:bookmarkStart w:id="4" w:name="_Toc71734669"/>
      <w:bookmarkStart w:id="5" w:name="_Toc8029"/>
      <w:bookmarkStart w:id="6" w:name="_Toc7664"/>
      <w:r>
        <w:rPr>
          <w:rFonts w:hint="eastAsia" w:ascii="Times New Roman" w:hAnsi="Times New Roman" w:eastAsia="仿宋_GB2312" w:cs="Times New Roman"/>
          <w:b/>
          <w:kern w:val="0"/>
          <w:sz w:val="28"/>
          <w:szCs w:val="28"/>
          <w:lang w:val="en-US" w:eastAsia="zh-CN"/>
        </w:rPr>
        <w:t>一、项目基本情况</w:t>
      </w:r>
      <w:bookmarkEnd w:id="2"/>
      <w:bookmarkEnd w:id="3"/>
      <w:bookmarkEnd w:id="4"/>
      <w:bookmarkEnd w:id="5"/>
      <w:bookmarkEnd w:id="6"/>
    </w:p>
    <w:p w14:paraId="6538A90A">
      <w:pPr>
        <w:pStyle w:val="9"/>
        <w:pageBreakBefore w:val="0"/>
        <w:widowControl w:val="0"/>
        <w:kinsoku/>
        <w:wordWrap/>
        <w:overflowPunct/>
        <w:topLinePunct w:val="0"/>
        <w:bidi w:val="0"/>
        <w:snapToGrid/>
        <w:spacing w:line="460" w:lineRule="exact"/>
        <w:ind w:firstLine="560" w:firstLineChars="20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1.项目编号：</w:t>
      </w:r>
      <w:r>
        <w:rPr>
          <w:rFonts w:hint="default" w:ascii="Times New Roman" w:hAnsi="Times New Roman" w:eastAsia="仿宋_GB2312" w:cs="Times New Roman"/>
          <w:sz w:val="28"/>
          <w:szCs w:val="28"/>
          <w:lang w:val="en-US" w:eastAsia="zh-CN"/>
        </w:rPr>
        <w:t>DLZEY2025-001</w:t>
      </w:r>
    </w:p>
    <w:p w14:paraId="1472B663">
      <w:pPr>
        <w:pageBreakBefore w:val="0"/>
        <w:kinsoku/>
        <w:wordWrap/>
        <w:overflowPunct/>
        <w:topLinePunct w:val="0"/>
        <w:bidi w:val="0"/>
        <w:snapToGrid/>
        <w:spacing w:line="460" w:lineRule="exact"/>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Hans"/>
        </w:rPr>
        <w:t>2.项目名称：</w:t>
      </w:r>
      <w:bookmarkStart w:id="7" w:name="_Hlk106285856"/>
      <w:bookmarkStart w:id="8" w:name="_Hlk53208643"/>
      <w:r>
        <w:rPr>
          <w:rFonts w:hint="eastAsia" w:ascii="Times New Roman" w:hAnsi="Times New Roman" w:eastAsia="仿宋_GB2312" w:cs="Times New Roman"/>
          <w:sz w:val="28"/>
          <w:szCs w:val="28"/>
          <w:lang w:val="en-US" w:eastAsia="zh-CN"/>
        </w:rPr>
        <w:t>XX采购项目</w:t>
      </w:r>
    </w:p>
    <w:p w14:paraId="28858B37">
      <w:pPr>
        <w:pageBreakBefore w:val="0"/>
        <w:kinsoku/>
        <w:wordWrap/>
        <w:overflowPunct/>
        <w:topLinePunct w:val="0"/>
        <w:bidi w:val="0"/>
        <w:snapToGrid/>
        <w:spacing w:line="460" w:lineRule="exact"/>
        <w:ind w:firstLine="560" w:firstLineChars="200"/>
        <w:textAlignment w:val="auto"/>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3.预算金额</w:t>
      </w:r>
      <w:r>
        <w:rPr>
          <w:rFonts w:hint="eastAsia" w:ascii="Times New Roman" w:hAnsi="Times New Roman" w:eastAsia="仿宋_GB2312" w:cs="Times New Roman"/>
          <w:sz w:val="28"/>
          <w:szCs w:val="28"/>
          <w:lang w:val="en-US" w:eastAsia="zh-CN"/>
        </w:rPr>
        <w:t>（万元）</w:t>
      </w:r>
      <w:r>
        <w:rPr>
          <w:rFonts w:hint="eastAsia" w:ascii="Times New Roman" w:hAnsi="Times New Roman" w:eastAsia="仿宋_GB2312" w:cs="Times New Roman"/>
          <w:sz w:val="28"/>
          <w:szCs w:val="28"/>
          <w:lang w:val="en-US" w:eastAsia="zh-Hans"/>
        </w:rPr>
        <w:t>：</w:t>
      </w:r>
      <w:bookmarkEnd w:id="7"/>
      <w:bookmarkEnd w:id="8"/>
      <w:bookmarkStart w:id="9" w:name="_Hlk57456899"/>
      <w:r>
        <w:rPr>
          <w:rFonts w:hint="eastAsia" w:ascii="Times New Roman" w:hAnsi="Times New Roman" w:eastAsia="仿宋_GB2312" w:cs="Times New Roman"/>
          <w:sz w:val="28"/>
          <w:szCs w:val="28"/>
          <w:lang w:val="en-US" w:eastAsia="zh-CN"/>
        </w:rPr>
        <w:t>255.00</w:t>
      </w:r>
    </w:p>
    <w:p w14:paraId="53428C07">
      <w:pPr>
        <w:pageBreakBefore w:val="0"/>
        <w:kinsoku/>
        <w:wordWrap/>
        <w:overflowPunct/>
        <w:topLinePunct w:val="0"/>
        <w:bidi w:val="0"/>
        <w:snapToGrid/>
        <w:spacing w:line="460" w:lineRule="exact"/>
        <w:ind w:firstLine="560" w:firstLineChars="200"/>
        <w:textAlignment w:val="auto"/>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4.最高限价</w:t>
      </w:r>
      <w:r>
        <w:rPr>
          <w:rFonts w:hint="eastAsia" w:ascii="Times New Roman" w:hAnsi="Times New Roman" w:eastAsia="仿宋_GB2312" w:cs="Times New Roman"/>
          <w:sz w:val="28"/>
          <w:szCs w:val="28"/>
          <w:lang w:val="en-US" w:eastAsia="zh-CN"/>
        </w:rPr>
        <w:t>（万元）</w:t>
      </w:r>
      <w:r>
        <w:rPr>
          <w:rFonts w:hint="eastAsia" w:ascii="Times New Roman" w:hAnsi="Times New Roman" w:eastAsia="仿宋_GB2312" w:cs="Times New Roman"/>
          <w:sz w:val="28"/>
          <w:szCs w:val="28"/>
          <w:lang w:val="en-US" w:eastAsia="zh-Hans"/>
        </w:rPr>
        <w:t>：</w:t>
      </w:r>
      <w:r>
        <w:rPr>
          <w:rFonts w:hint="eastAsia" w:ascii="Times New Roman" w:hAnsi="Times New Roman" w:eastAsia="仿宋_GB2312" w:cs="Times New Roman"/>
          <w:sz w:val="28"/>
          <w:szCs w:val="28"/>
          <w:lang w:val="en-US" w:eastAsia="zh-CN"/>
        </w:rPr>
        <w:t>233.00</w:t>
      </w:r>
    </w:p>
    <w:p w14:paraId="25D8B808">
      <w:pPr>
        <w:pageBreakBefore w:val="0"/>
        <w:kinsoku/>
        <w:wordWrap/>
        <w:overflowPunct/>
        <w:topLinePunct w:val="0"/>
        <w:bidi w:val="0"/>
        <w:snapToGrid/>
        <w:spacing w:line="460" w:lineRule="exact"/>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Hans"/>
        </w:rPr>
        <w:t>5.采购需求：</w:t>
      </w:r>
      <w:bookmarkStart w:id="10" w:name="_Hlk53208656"/>
      <w:r>
        <w:rPr>
          <w:rFonts w:hint="eastAsia" w:ascii="Times New Roman" w:hAnsi="Times New Roman" w:eastAsia="仿宋_GB2312" w:cs="Times New Roman"/>
          <w:sz w:val="28"/>
          <w:szCs w:val="28"/>
          <w:lang w:val="en-US" w:eastAsia="zh-CN"/>
        </w:rPr>
        <w:t>详见第六章采购需求及要求</w:t>
      </w:r>
    </w:p>
    <w:p w14:paraId="30AEEDBF">
      <w:pPr>
        <w:pageBreakBefore w:val="0"/>
        <w:numPr>
          <w:ilvl w:val="0"/>
          <w:numId w:val="0"/>
        </w:numPr>
        <w:kinsoku/>
        <w:wordWrap/>
        <w:overflowPunct/>
        <w:topLinePunct w:val="0"/>
        <w:bidi w:val="0"/>
        <w:snapToGrid/>
        <w:spacing w:line="460" w:lineRule="exact"/>
        <w:ind w:firstLine="56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 w:name="_Hlk71729127"/>
      <w:r>
        <w:rPr>
          <w:rFonts w:hint="eastAsia" w:eastAsia="仿宋_GB2312" w:cs="Times New Roman"/>
          <w:sz w:val="28"/>
          <w:szCs w:val="28"/>
          <w:lang w:val="en-US" w:eastAsia="zh-CN"/>
        </w:rPr>
        <w:t>6.</w:t>
      </w:r>
      <w:r>
        <w:rPr>
          <w:rFonts w:hint="eastAsia" w:ascii="Times New Roman" w:hAnsi="Times New Roman" w:eastAsia="仿宋_GB2312" w:cs="Times New Roman"/>
          <w:sz w:val="28"/>
          <w:szCs w:val="28"/>
          <w:lang w:val="en-US" w:eastAsia="zh-Hans"/>
        </w:rPr>
        <w:t>合同履行期限：合同签订之日起</w:t>
      </w:r>
      <w:r>
        <w:rPr>
          <w:rFonts w:hint="eastAsia" w:ascii="Times New Roman" w:hAnsi="Times New Roman" w:eastAsia="仿宋_GB2312" w:cs="Times New Roman"/>
          <w:sz w:val="28"/>
          <w:szCs w:val="28"/>
          <w:lang w:val="en-US" w:eastAsia="zh-CN"/>
        </w:rPr>
        <w:t>30日历天内交货</w:t>
      </w:r>
      <w:r>
        <w:rPr>
          <w:rFonts w:hint="eastAsia" w:ascii="Times New Roman" w:hAnsi="Times New Roman" w:eastAsia="仿宋_GB2312" w:cs="Times New Roman"/>
          <w:sz w:val="28"/>
          <w:szCs w:val="28"/>
          <w:lang w:val="en-US" w:eastAsia="zh-Hans"/>
        </w:rPr>
        <w:t>。</w:t>
      </w:r>
    </w:p>
    <w:bookmarkEnd w:id="9"/>
    <w:bookmarkEnd w:id="10"/>
    <w:bookmarkEnd w:id="11"/>
    <w:p w14:paraId="1AC116CD">
      <w:pPr>
        <w:pStyle w:val="23"/>
        <w:pageBreakBefore w:val="0"/>
        <w:kinsoku/>
        <w:wordWrap/>
        <w:overflowPunct/>
        <w:topLinePunct w:val="0"/>
        <w:bidi w:val="0"/>
        <w:snapToGrid/>
        <w:spacing w:line="460" w:lineRule="exact"/>
        <w:jc w:val="left"/>
        <w:textAlignment w:val="auto"/>
        <w:outlineLvl w:val="2"/>
        <w:rPr>
          <w:rFonts w:hint="default" w:ascii="Times New Roman" w:hAnsi="Times New Roman" w:cs="Times New Roman"/>
          <w:sz w:val="28"/>
          <w:szCs w:val="28"/>
        </w:rPr>
      </w:pPr>
      <w:r>
        <w:rPr>
          <w:rFonts w:hint="eastAsia" w:ascii="Times New Roman" w:hAnsi="Times New Roman" w:eastAsia="仿宋_GB2312" w:cs="Times New Roman"/>
          <w:b/>
          <w:sz w:val="28"/>
          <w:szCs w:val="28"/>
          <w:lang w:val="en-US" w:eastAsia="zh-CN"/>
        </w:rPr>
        <w:t>二、申请人的资格要求</w:t>
      </w:r>
    </w:p>
    <w:p w14:paraId="04AECBFA">
      <w:pPr>
        <w:pStyle w:val="23"/>
        <w:pageBreakBefore w:val="0"/>
        <w:kinsoku/>
        <w:wordWrap/>
        <w:overflowPunct/>
        <w:topLinePunct w:val="0"/>
        <w:bidi w:val="0"/>
        <w:snapToGrid/>
        <w:spacing w:line="460" w:lineRule="exact"/>
        <w:ind w:firstLine="480"/>
        <w:jc w:val="left"/>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1.满足《中华人民共和国政府采购法》第二十二条规定：</w:t>
      </w:r>
    </w:p>
    <w:p w14:paraId="24A0A98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1.1</w:t>
      </w:r>
      <w:r>
        <w:rPr>
          <w:rFonts w:hint="eastAsia" w:ascii="Times New Roman" w:hAnsi="Times New Roman" w:eastAsia="仿宋_GB2312" w:cs="Times New Roman"/>
          <w:kern w:val="0"/>
          <w:sz w:val="28"/>
          <w:szCs w:val="28"/>
          <w:lang w:val="en-US" w:eastAsia="zh-CN"/>
        </w:rPr>
        <w:t>投标人具有独立承担民事责任的能力（提供营业执照）；</w:t>
      </w:r>
    </w:p>
    <w:p w14:paraId="59B28D2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1.</w:t>
      </w:r>
      <w:r>
        <w:rPr>
          <w:rFonts w:hint="eastAsia" w:ascii="Times New Roman" w:hAnsi="Times New Roman" w:eastAsia="仿宋_GB2312" w:cs="Times New Roman"/>
          <w:kern w:val="0"/>
          <w:sz w:val="28"/>
          <w:szCs w:val="28"/>
          <w:lang w:val="en-US" w:eastAsia="zh-CN"/>
        </w:rPr>
        <w:t>2投标人具有良好的商业信誉和健全的财务会计制度（提供2023年或2024年度经第三方审计的审计报告或财务报表或相关财务情况说明，成立不满1年的，提供自成立至今财务报表或相关财务情况说明。投标人可根据自身情况提供上述任意一种证明材料）；</w:t>
      </w:r>
    </w:p>
    <w:p w14:paraId="64FE5419">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1.3投标人具有依法缴纳税收的良好记录（须提供缴税所属时间在2025年01月至本项目投标文件提交截止时间</w:t>
      </w:r>
      <w:r>
        <w:rPr>
          <w:rFonts w:hint="eastAsia" w:eastAsia="仿宋_GB2312" w:cs="Times New Roman"/>
          <w:kern w:val="0"/>
          <w:sz w:val="28"/>
          <w:szCs w:val="28"/>
          <w:lang w:val="en-US" w:eastAsia="zh-CN"/>
        </w:rPr>
        <w:t>后</w:t>
      </w:r>
      <w:r>
        <w:rPr>
          <w:rFonts w:hint="eastAsia" w:ascii="Times New Roman" w:hAnsi="Times New Roman" w:eastAsia="仿宋_GB2312" w:cs="Times New Roman"/>
          <w:kern w:val="0"/>
          <w:sz w:val="28"/>
          <w:szCs w:val="28"/>
          <w:lang w:val="en-US" w:eastAsia="zh-CN"/>
        </w:rPr>
        <w:t>任意1个月的税务局税收通用缴款书或银行电子缴税（费）凭证或税务局出具纳税情况的相关证明，依法免税的，应提供依法免税的相关证明文件，新成立的企业（未满3个月）无须提供证明材料）；</w:t>
      </w:r>
    </w:p>
    <w:p w14:paraId="3A1CED7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1.4投标人具有依法缴纳社会保障资金的良好记录（须提供缴费所属时间在2025年01月至本项目投标文件提交截止时间前任意1个月的社会保险费缴款书或银行电子缴税（费）凭证或社保管理部门出具的有效的缴款证明，依法免缴的，应提供依法免缴的相关证明文件，新成立的企业（未满3个月）无须提供证明材料）；</w:t>
      </w:r>
    </w:p>
    <w:p w14:paraId="3E53FE4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1.5投标人具有履行合同所必需的设备和专业技术能力（投标人提供书面声明或证明材料）；</w:t>
      </w:r>
    </w:p>
    <w:p w14:paraId="6B3D850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1.6投标人参加政府采购活动前三年内在经营活动中没有重大违法记录的书面声明（重大违法记录，是指供应商因违法经营受到刑事处罚或者责令停产停业、吊销许可证或者执照、较大数额罚款等行政处罚。）；</w:t>
      </w:r>
    </w:p>
    <w:p w14:paraId="541ED106">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2.落实政府采购政策需满足的资格要求：本项目非专门面向中小企业采购的项目；小微企业价格扣除优惠比例:10%。</w:t>
      </w:r>
    </w:p>
    <w:p w14:paraId="1614D60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3.本项目的特定资格要求：</w:t>
      </w:r>
      <w:bookmarkStart w:id="85" w:name="_GoBack"/>
      <w:bookmarkEnd w:id="85"/>
    </w:p>
    <w:p w14:paraId="09F39456">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3.1 投标人为代理商或经销商的，须提供医疗器械经营许可证/备案，所投产品制造商的医疗器械生产许可证（制造商工商注册地在中华人民共和国境外的，不做此要求）、所投产品的医疗器械注册证及附件；投标人为制造商的，须提供医疗器械生产许可证（制造商工商注册地在中华人民共和国境外的，不做此要求）、所投产品的医疗器械注册证及附件；医疗器械生产或经营许可证的生产或经营范围须覆盖所投第二、三类医疗器械（根据中华人民共和国国务院令第</w:t>
      </w:r>
      <w:r>
        <w:rPr>
          <w:rFonts w:hint="eastAsia" w:eastAsia="仿宋_GB2312" w:cs="Times New Roman"/>
          <w:kern w:val="0"/>
          <w:sz w:val="28"/>
          <w:szCs w:val="28"/>
          <w:lang w:val="en-US" w:eastAsia="zh-CN"/>
        </w:rPr>
        <w:t>650</w:t>
      </w:r>
      <w:r>
        <w:rPr>
          <w:rFonts w:hint="eastAsia" w:ascii="Times New Roman" w:hAnsi="Times New Roman" w:eastAsia="仿宋_GB2312" w:cs="Times New Roman"/>
          <w:kern w:val="0"/>
          <w:sz w:val="28"/>
          <w:szCs w:val="28"/>
          <w:lang w:val="en-US" w:eastAsia="zh-CN"/>
        </w:rPr>
        <w:t>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w:t>
      </w:r>
    </w:p>
    <w:p w14:paraId="1B59B3BD">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3.2 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14:paraId="10F5FB6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3.3根据《中华人民共和国政府采购法实施条例》第十八条规定，单位负责人为同一人或者存在直接控股、管理关系的不同供应商，不得参加同一合同项下的采购活动（提供书面声明即可）。</w:t>
      </w:r>
    </w:p>
    <w:p w14:paraId="4E6AC896">
      <w:pPr>
        <w:pStyle w:val="23"/>
        <w:pageBreakBefore w:val="0"/>
        <w:kinsoku/>
        <w:wordWrap/>
        <w:overflowPunct/>
        <w:topLinePunct w:val="0"/>
        <w:bidi w:val="0"/>
        <w:snapToGrid/>
        <w:spacing w:line="460" w:lineRule="exact"/>
        <w:jc w:val="left"/>
        <w:textAlignment w:val="auto"/>
        <w:rPr>
          <w:rFonts w:hint="default" w:ascii="Times New Roman" w:hAnsi="Times New Roman" w:cs="Times New Roman"/>
          <w:sz w:val="28"/>
          <w:szCs w:val="28"/>
        </w:rPr>
      </w:pPr>
      <w:r>
        <w:rPr>
          <w:rFonts w:hint="eastAsia" w:ascii="Times New Roman" w:hAnsi="Times New Roman" w:eastAsia="仿宋_GB2312" w:cs="Times New Roman"/>
          <w:kern w:val="0"/>
          <w:sz w:val="28"/>
          <w:szCs w:val="28"/>
          <w:lang w:val="en-US" w:eastAsia="zh-CN"/>
        </w:rPr>
        <w:t>3.4 本项目不接受联合体投标。</w:t>
      </w:r>
    </w:p>
    <w:p w14:paraId="4EBD6284">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b/>
          <w:kern w:val="0"/>
          <w:sz w:val="28"/>
          <w:szCs w:val="28"/>
          <w:lang w:val="en-US" w:eastAsia="zh-CN"/>
        </w:rPr>
      </w:pPr>
      <w:r>
        <w:rPr>
          <w:rFonts w:hint="eastAsia" w:ascii="Times New Roman" w:hAnsi="Times New Roman" w:eastAsia="仿宋_GB2312" w:cs="Times New Roman"/>
          <w:b/>
          <w:kern w:val="0"/>
          <w:sz w:val="28"/>
          <w:szCs w:val="28"/>
          <w:lang w:val="en-US" w:eastAsia="zh-CN"/>
        </w:rPr>
        <w:t>三、获取招标文件</w:t>
      </w:r>
    </w:p>
    <w:p w14:paraId="330C31AC">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1、时间：</w:t>
      </w:r>
      <w:r>
        <w:rPr>
          <w:rFonts w:hint="eastAsia" w:eastAsia="仿宋_GB2312" w:cs="Times New Roman"/>
          <w:kern w:val="0"/>
          <w:sz w:val="28"/>
          <w:szCs w:val="28"/>
          <w:lang w:val="en-US" w:eastAsia="zh-CN"/>
        </w:rPr>
        <w:t>XXXX</w:t>
      </w:r>
      <w:r>
        <w:rPr>
          <w:rFonts w:hint="eastAsia" w:ascii="Times New Roman" w:hAnsi="Times New Roman" w:eastAsia="仿宋_GB2312" w:cs="Times New Roman"/>
          <w:kern w:val="0"/>
          <w:sz w:val="28"/>
          <w:szCs w:val="28"/>
          <w:lang w:val="en-US" w:eastAsia="zh-CN"/>
        </w:rPr>
        <w:t>年</w:t>
      </w:r>
      <w:r>
        <w:rPr>
          <w:rFonts w:hint="eastAsia" w:eastAsia="仿宋_GB2312" w:cs="Times New Roman"/>
          <w:kern w:val="0"/>
          <w:sz w:val="28"/>
          <w:szCs w:val="28"/>
          <w:lang w:val="en-US" w:eastAsia="zh-CN"/>
        </w:rPr>
        <w:t>XX</w:t>
      </w:r>
      <w:r>
        <w:rPr>
          <w:rFonts w:hint="eastAsia" w:ascii="Times New Roman" w:hAnsi="Times New Roman" w:eastAsia="仿宋_GB2312" w:cs="Times New Roman"/>
          <w:kern w:val="0"/>
          <w:sz w:val="28"/>
          <w:szCs w:val="28"/>
          <w:lang w:val="en-US" w:eastAsia="zh-CN"/>
        </w:rPr>
        <w:t>月</w:t>
      </w:r>
      <w:r>
        <w:rPr>
          <w:rFonts w:hint="eastAsia" w:eastAsia="仿宋_GB2312" w:cs="Times New Roman"/>
          <w:kern w:val="0"/>
          <w:sz w:val="28"/>
          <w:szCs w:val="28"/>
          <w:lang w:val="en-US" w:eastAsia="zh-CN"/>
        </w:rPr>
        <w:t>XX</w:t>
      </w:r>
      <w:r>
        <w:rPr>
          <w:rFonts w:hint="eastAsia" w:ascii="Times New Roman" w:hAnsi="Times New Roman" w:eastAsia="仿宋_GB2312" w:cs="Times New Roman"/>
          <w:kern w:val="0"/>
          <w:sz w:val="28"/>
          <w:szCs w:val="28"/>
          <w:lang w:val="en-US" w:eastAsia="zh-CN"/>
        </w:rPr>
        <w:t>日至</w:t>
      </w:r>
      <w:r>
        <w:rPr>
          <w:rFonts w:hint="eastAsia" w:eastAsia="仿宋_GB2312" w:cs="Times New Roman"/>
          <w:kern w:val="0"/>
          <w:sz w:val="28"/>
          <w:szCs w:val="28"/>
          <w:lang w:val="en-US" w:eastAsia="zh-CN"/>
        </w:rPr>
        <w:t>XXXX</w:t>
      </w:r>
      <w:r>
        <w:rPr>
          <w:rFonts w:hint="eastAsia" w:ascii="Times New Roman" w:hAnsi="Times New Roman" w:eastAsia="仿宋_GB2312" w:cs="Times New Roman"/>
          <w:kern w:val="0"/>
          <w:sz w:val="28"/>
          <w:szCs w:val="28"/>
          <w:lang w:val="en-US" w:eastAsia="zh-CN"/>
        </w:rPr>
        <w:t>年</w:t>
      </w:r>
      <w:r>
        <w:rPr>
          <w:rFonts w:hint="eastAsia" w:eastAsia="仿宋_GB2312" w:cs="Times New Roman"/>
          <w:kern w:val="0"/>
          <w:sz w:val="28"/>
          <w:szCs w:val="28"/>
          <w:lang w:val="en-US" w:eastAsia="zh-CN"/>
        </w:rPr>
        <w:t>XX</w:t>
      </w:r>
      <w:r>
        <w:rPr>
          <w:rFonts w:hint="eastAsia" w:ascii="Times New Roman" w:hAnsi="Times New Roman" w:eastAsia="仿宋_GB2312" w:cs="Times New Roman"/>
          <w:kern w:val="0"/>
          <w:sz w:val="28"/>
          <w:szCs w:val="28"/>
          <w:lang w:val="en-US" w:eastAsia="zh-CN"/>
        </w:rPr>
        <w:t>月</w:t>
      </w:r>
      <w:r>
        <w:rPr>
          <w:rFonts w:hint="eastAsia" w:eastAsia="仿宋_GB2312" w:cs="Times New Roman"/>
          <w:kern w:val="0"/>
          <w:sz w:val="28"/>
          <w:szCs w:val="28"/>
          <w:lang w:val="en-US" w:eastAsia="zh-CN"/>
        </w:rPr>
        <w:t>XX</w:t>
      </w:r>
      <w:r>
        <w:rPr>
          <w:rFonts w:hint="eastAsia" w:ascii="Times New Roman" w:hAnsi="Times New Roman" w:eastAsia="仿宋_GB2312" w:cs="Times New Roman"/>
          <w:kern w:val="0"/>
          <w:sz w:val="28"/>
          <w:szCs w:val="28"/>
          <w:lang w:val="en-US" w:eastAsia="zh-CN"/>
        </w:rPr>
        <w:t>日，每天上午00:00至12:00，下午12:00至23:59（北京时间，法定节假日除外 ）。</w:t>
      </w:r>
    </w:p>
    <w:p w14:paraId="5D0BC503">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2、地点：政采云平台线上获取（http://www.zcygov.cn）</w:t>
      </w:r>
    </w:p>
    <w:p w14:paraId="7B2CCDB3">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3、方式：</w:t>
      </w:r>
    </w:p>
    <w:p w14:paraId="722B9E1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（1）凡有意参加投标者，须注册政采云平台账号并登录办理数字证书（CA），CA申领链接：http://yzt.ynsmartcert.cn/cms/yztdlzbhj.html或https://middle.zcygov.cn/ca/apply/edit?certType=32云南壹证通CA 可支持线上、线下办理方式，并提供7*24小时全天候客户服务支持，客服热线0871-67276028（紧急CA办理电话：19988166369）。政府采购云平台支持多家CA服务商，供应商可自行选择。</w:t>
      </w:r>
    </w:p>
    <w:p w14:paraId="2459292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（2）数字证书（CA）申领完成之后进入政采云平台，企业账号与CA进行绑定，凭CA进行项目报名并免费下载招标文件。</w:t>
      </w:r>
    </w:p>
    <w:p w14:paraId="06F787A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（3）按上述要求获取文件的投标人视为已合法获取本项目招标文件，具备本项目的投标资格。</w:t>
      </w:r>
    </w:p>
    <w:p w14:paraId="40DCBEB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（4）如有问题可拨打政采云客户服务热线95763进行咨询，数字证书（CA）问题可咨询24小时技术支持热线：0871-67276028（紧急办理可拨：19988166369）。</w:t>
      </w:r>
    </w:p>
    <w:p w14:paraId="13634CC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注：投标人如已在云南 CA办理过企业数字证书（CA）的，直接绑定即可，无需重复办理。云南省外投标人在政采云平台办理的其他CA可直接使用，无需重复办理。</w:t>
      </w:r>
    </w:p>
    <w:p w14:paraId="4FF1DF23">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售价（元）：0</w:t>
      </w:r>
    </w:p>
    <w:p w14:paraId="09D01D9B">
      <w:pPr>
        <w:pStyle w:val="23"/>
        <w:pageBreakBefore w:val="0"/>
        <w:kinsoku/>
        <w:wordWrap/>
        <w:overflowPunct/>
        <w:topLinePunct w:val="0"/>
        <w:bidi w:val="0"/>
        <w:snapToGrid/>
        <w:spacing w:line="460" w:lineRule="exact"/>
        <w:jc w:val="left"/>
        <w:textAlignment w:val="auto"/>
        <w:outlineLvl w:val="2"/>
        <w:rPr>
          <w:rFonts w:hint="default" w:ascii="Times New Roman" w:hAnsi="Times New Roman" w:cs="Times New Roman"/>
          <w:sz w:val="28"/>
          <w:szCs w:val="28"/>
        </w:rPr>
      </w:pPr>
      <w:r>
        <w:rPr>
          <w:rFonts w:hint="eastAsia" w:ascii="Times New Roman" w:hAnsi="Times New Roman" w:eastAsia="仿宋_GB2312" w:cs="Times New Roman"/>
          <w:b/>
          <w:sz w:val="28"/>
          <w:szCs w:val="28"/>
          <w:lang w:val="en-US" w:eastAsia="zh-CN"/>
        </w:rPr>
        <w:t>四、</w:t>
      </w:r>
      <w:r>
        <w:rPr>
          <w:rFonts w:hint="default" w:ascii="Times New Roman" w:hAnsi="Times New Roman" w:eastAsia="仿宋_GB2312" w:cs="Times New Roman"/>
          <w:b/>
          <w:sz w:val="28"/>
          <w:szCs w:val="28"/>
          <w:lang w:eastAsia="zh-CN"/>
        </w:rPr>
        <w:t>提交投标文件截止时间、开标时间和地点</w:t>
      </w:r>
    </w:p>
    <w:p w14:paraId="1A479947">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时间：</w:t>
      </w:r>
      <w:r>
        <w:rPr>
          <w:rFonts w:hint="default" w:ascii="Times New Roman" w:hAnsi="Times New Roman" w:eastAsia="仿宋_GB2312" w:cs="Times New Roman"/>
          <w:kern w:val="0"/>
          <w:sz w:val="28"/>
          <w:szCs w:val="28"/>
          <w:lang w:val="en-US" w:eastAsia="zh-CN"/>
        </w:rPr>
        <w:t>XXXX年XX月XX日XX时XX分（北京时间）</w:t>
      </w:r>
    </w:p>
    <w:p w14:paraId="54A8FCD0">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地点：某采购代理机构开标室</w:t>
      </w:r>
    </w:p>
    <w:p w14:paraId="7B9F731F">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b/>
          <w:kern w:val="0"/>
          <w:sz w:val="28"/>
          <w:szCs w:val="28"/>
          <w:lang w:val="en-US" w:eastAsia="zh-CN"/>
        </w:rPr>
      </w:pPr>
      <w:r>
        <w:rPr>
          <w:rFonts w:hint="eastAsia" w:ascii="Times New Roman" w:hAnsi="Times New Roman" w:eastAsia="仿宋_GB2312" w:cs="Times New Roman"/>
          <w:b/>
          <w:kern w:val="0"/>
          <w:sz w:val="28"/>
          <w:szCs w:val="28"/>
          <w:lang w:val="en-US" w:eastAsia="zh-CN"/>
        </w:rPr>
        <w:t>五、公告期限</w:t>
      </w:r>
    </w:p>
    <w:p w14:paraId="362CC71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自本公告发布之日起5个工作日。</w:t>
      </w:r>
    </w:p>
    <w:p w14:paraId="3E23187E">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b/>
          <w:kern w:val="0"/>
          <w:sz w:val="28"/>
          <w:szCs w:val="28"/>
          <w:lang w:val="en-US" w:eastAsia="zh-CN"/>
        </w:rPr>
      </w:pPr>
      <w:r>
        <w:rPr>
          <w:rFonts w:hint="eastAsia" w:ascii="Times New Roman" w:hAnsi="Times New Roman" w:eastAsia="仿宋_GB2312" w:cs="Times New Roman"/>
          <w:b/>
          <w:kern w:val="0"/>
          <w:sz w:val="28"/>
          <w:szCs w:val="28"/>
          <w:lang w:val="en-US" w:eastAsia="zh-CN"/>
        </w:rPr>
        <w:t>六、其他补充事宜</w:t>
      </w:r>
    </w:p>
    <w:p w14:paraId="2A1210E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1.本项目招标公告在“云南省政府采购网、政府采购云平台”上发布，采购人及采购代理机构对其他网站或媒体转载的公告及公告内容不承担任何责任。</w:t>
      </w:r>
    </w:p>
    <w:p w14:paraId="322A17C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2.本项目采用网上智能远程开标，投标人无需到现场开标。</w:t>
      </w:r>
    </w:p>
    <w:p w14:paraId="5C7DA14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3.投标人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或5763进行咨询。如因投标人自身原因导致在规定时间内无法正常解密的（如：浏览器故障、未安装相关驱动、网络故障、加密CA与解密CA不一致等），代理机构不予异常处理，视为投标人自动弃标。各投标人应确保在开标前成为政采云平台投标人，并完成CA数字证书申领，因未注册入库、未办理CA数字证书等原因造成无法投标或投标失败等后果由投标人自行承担。</w:t>
      </w:r>
    </w:p>
    <w:p w14:paraId="6334861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4.投标人应按照本项目招标文件和"政采云"平台的要求编制、加密后在投标文件提交截止时间前上传至"政采云"平台，投标文件提交截止时间前未完成投标文件上传的，视为撤回投标文件。投标人在“政采云"平台提交电子版投标文件时，请填写参加远程采购活动经办人联系方式。</w:t>
      </w:r>
    </w:p>
    <w:p w14:paraId="42F0A44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eastAsia" w:eastAsia="仿宋_GB2312" w:cs="Times New Roman"/>
          <w:kern w:val="0"/>
          <w:sz w:val="28"/>
          <w:szCs w:val="28"/>
          <w:lang w:val="en-US" w:eastAsia="zh-CN"/>
        </w:rPr>
        <w:t>5.</w:t>
      </w:r>
      <w:r>
        <w:rPr>
          <w:rFonts w:hint="default" w:ascii="Times New Roman" w:hAnsi="Times New Roman" w:eastAsia="仿宋_GB2312" w:cs="Times New Roman"/>
          <w:kern w:val="0"/>
          <w:sz w:val="28"/>
          <w:szCs w:val="28"/>
          <w:lang w:val="en-US" w:eastAsia="zh-CN"/>
        </w:rPr>
        <w:t>供应商信用融资</w:t>
      </w:r>
    </w:p>
    <w:p w14:paraId="25AE3B75">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为助力解决政府采购中标人资金不足、融资难、融资贵的困难，促进供应商依法诚信参加政府采购活动，根据《关于进一步提高政府采购透明度和采购效率相关事项的通知》（财办库〔2023〕243号）《云南省财政厅关于推进全省政府采购合同融资及信用担保工作的通知》（云财</w:t>
      </w:r>
      <w:r>
        <w:rPr>
          <w:rFonts w:hint="default" w:ascii="Times New Roman" w:hAnsi="Times New Roman" w:eastAsia="仿宋_GB2312" w:cs="Times New Roman"/>
          <w:kern w:val="0"/>
          <w:sz w:val="28"/>
          <w:szCs w:val="28"/>
          <w:highlight w:val="none"/>
          <w:lang w:val="en-US" w:eastAsia="zh-CN"/>
        </w:rPr>
        <w:t>采﹝202</w:t>
      </w:r>
      <w:r>
        <w:rPr>
          <w:rFonts w:hint="eastAsia" w:eastAsia="仿宋_GB2312" w:cs="Times New Roman"/>
          <w:kern w:val="0"/>
          <w:sz w:val="28"/>
          <w:szCs w:val="28"/>
          <w:highlight w:val="none"/>
          <w:lang w:val="en-US" w:eastAsia="zh-CN"/>
        </w:rPr>
        <w:t>4</w:t>
      </w:r>
      <w:r>
        <w:rPr>
          <w:rFonts w:hint="default" w:ascii="Times New Roman" w:hAnsi="Times New Roman" w:eastAsia="仿宋_GB2312" w:cs="Times New Roman"/>
          <w:kern w:val="0"/>
          <w:sz w:val="28"/>
          <w:szCs w:val="28"/>
          <w:highlight w:val="none"/>
          <w:lang w:val="en-US" w:eastAsia="zh-CN"/>
        </w:rPr>
        <w:t>﹞</w:t>
      </w:r>
      <w:r>
        <w:rPr>
          <w:rFonts w:hint="eastAsia" w:eastAsia="仿宋_GB2312" w:cs="Times New Roman"/>
          <w:kern w:val="0"/>
          <w:sz w:val="28"/>
          <w:szCs w:val="28"/>
          <w:highlight w:val="none"/>
          <w:lang w:val="en-US" w:eastAsia="zh-CN"/>
        </w:rPr>
        <w:t>17</w:t>
      </w:r>
      <w:r>
        <w:rPr>
          <w:rFonts w:hint="default" w:ascii="Times New Roman" w:hAnsi="Times New Roman" w:eastAsia="仿宋_GB2312" w:cs="Times New Roman"/>
          <w:kern w:val="0"/>
          <w:sz w:val="28"/>
          <w:szCs w:val="28"/>
          <w:highlight w:val="none"/>
          <w:lang w:val="en-US" w:eastAsia="zh-CN"/>
        </w:rPr>
        <w:t>号</w:t>
      </w:r>
      <w:r>
        <w:rPr>
          <w:rFonts w:hint="default" w:ascii="Times New Roman" w:hAnsi="Times New Roman" w:eastAsia="仿宋_GB2312" w:cs="Times New Roman"/>
          <w:kern w:val="0"/>
          <w:sz w:val="28"/>
          <w:szCs w:val="28"/>
          <w:lang w:val="en-US" w:eastAsia="zh-CN"/>
        </w:rPr>
        <w:t>）规定，有融资需求的供应商可登录云南政府采购网—金融服务平台，选择符合自身情况的“政采贷”银行及其产品，凭项目中标结果、中标通知书等信息在线向银行提出贷款意向申请、查看贷款审批情况等。</w:t>
      </w:r>
    </w:p>
    <w:p w14:paraId="4CCA4DD1">
      <w:pPr>
        <w:keepNext w:val="0"/>
        <w:keepLines w:val="0"/>
        <w:pageBreakBefore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b/>
          <w:kern w:val="0"/>
          <w:sz w:val="28"/>
          <w:szCs w:val="28"/>
          <w:lang w:val="en-US" w:eastAsia="zh-CN"/>
        </w:rPr>
      </w:pPr>
      <w:r>
        <w:rPr>
          <w:rFonts w:hint="eastAsia" w:ascii="Times New Roman" w:hAnsi="Times New Roman" w:eastAsia="仿宋_GB2312" w:cs="Times New Roman"/>
          <w:b/>
          <w:kern w:val="0"/>
          <w:sz w:val="28"/>
          <w:szCs w:val="28"/>
          <w:lang w:val="en-US" w:eastAsia="zh-CN"/>
        </w:rPr>
        <w:t>七、对本次招标提出询问，请按以下方式联系</w:t>
      </w:r>
    </w:p>
    <w:p w14:paraId="4FBF077E">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采购人：大理州第二人民医院</w:t>
      </w:r>
    </w:p>
    <w:p w14:paraId="6F0BF93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地址：大理市满江街道红山路与太和路交汇处</w:t>
      </w:r>
    </w:p>
    <w:p w14:paraId="6B9BFC60">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邮编：671003</w:t>
      </w:r>
    </w:p>
    <w:p w14:paraId="7A85DBD4">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联系人：杨老师</w:t>
      </w:r>
    </w:p>
    <w:p w14:paraId="67FDE19B">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联系电话： 0872-2125928</w:t>
      </w:r>
    </w:p>
    <w:p w14:paraId="005EB8A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代理机构：某采购代理机构</w:t>
      </w:r>
    </w:p>
    <w:p w14:paraId="662EB7DA">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地址:XX</w:t>
      </w:r>
    </w:p>
    <w:p w14:paraId="2A5689C7">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邮编:XX</w:t>
      </w:r>
    </w:p>
    <w:p w14:paraId="3378F032">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联系人：XX  XX</w:t>
      </w:r>
    </w:p>
    <w:p w14:paraId="691F1488">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kern w:val="0"/>
          <w:sz w:val="28"/>
          <w:szCs w:val="28"/>
          <w:lang w:val="en-US" w:eastAsia="zh-CN"/>
        </w:rPr>
        <w:t>联系电话：XX</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br w:type="page"/>
      </w:r>
    </w:p>
    <w:p w14:paraId="3752C5D0">
      <w:pPr>
        <w:pStyle w:val="23"/>
        <w:jc w:val="center"/>
        <w:outlineLvl w:val="1"/>
        <w:rPr>
          <w:rFonts w:hint="default" w:ascii="Times New Roman" w:hAnsi="Times New Roman" w:cs="Times New Roman"/>
          <w:sz w:val="28"/>
          <w:szCs w:val="28"/>
        </w:rPr>
      </w:pPr>
      <w:r>
        <w:rPr>
          <w:rFonts w:hint="default" w:ascii="Times New Roman" w:hAnsi="Times New Roman" w:eastAsia="仿宋_GB2312" w:cs="Times New Roman"/>
          <w:b/>
          <w:sz w:val="28"/>
          <w:szCs w:val="28"/>
        </w:rPr>
        <w:t>第二章 投标人须知</w:t>
      </w:r>
    </w:p>
    <w:p w14:paraId="18A4DA16">
      <w:pPr>
        <w:pStyle w:val="23"/>
        <w:jc w:val="left"/>
        <w:outlineLvl w:val="2"/>
        <w:rPr>
          <w:rFonts w:hint="default" w:ascii="Times New Roman" w:hAnsi="Times New Roman" w:cs="Times New Roman"/>
          <w:sz w:val="28"/>
          <w:szCs w:val="28"/>
        </w:rPr>
      </w:pPr>
      <w:r>
        <w:rPr>
          <w:rFonts w:hint="default" w:ascii="Times New Roman" w:hAnsi="Times New Roman" w:eastAsia="仿宋_GB2312" w:cs="Times New Roman"/>
          <w:b/>
          <w:sz w:val="28"/>
          <w:szCs w:val="28"/>
        </w:rPr>
        <w:t>2.1.投标人须知附表</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65597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735F63">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序号</w:t>
            </w:r>
          </w:p>
        </w:tc>
        <w:tc>
          <w:tcPr>
            <w:tcW w:w="2252" w:type="dxa"/>
          </w:tcPr>
          <w:p w14:paraId="28CA21D1">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应知事项</w:t>
            </w:r>
          </w:p>
        </w:tc>
        <w:tc>
          <w:tcPr>
            <w:tcW w:w="5004" w:type="dxa"/>
          </w:tcPr>
          <w:p w14:paraId="097CD336">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说明和要求</w:t>
            </w:r>
          </w:p>
        </w:tc>
      </w:tr>
      <w:tr w14:paraId="311A3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8C667A8">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1</w:t>
            </w:r>
          </w:p>
        </w:tc>
        <w:tc>
          <w:tcPr>
            <w:tcW w:w="2252" w:type="dxa"/>
          </w:tcPr>
          <w:p w14:paraId="6F9F2DA3">
            <w:pPr>
              <w:pStyle w:val="23"/>
              <w:jc w:val="left"/>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采购预算及最高限价</w:t>
            </w:r>
            <w:r>
              <w:rPr>
                <w:rFonts w:hint="default" w:ascii="Times New Roman" w:hAnsi="Times New Roman" w:eastAsia="仿宋_GB2312" w:cs="Times New Roman"/>
                <w:b/>
                <w:sz w:val="32"/>
                <w:szCs w:val="32"/>
              </w:rPr>
              <w:t>*</w:t>
            </w:r>
          </w:p>
          <w:p w14:paraId="4E8AD344">
            <w:pPr>
              <w:pStyle w:val="23"/>
              <w:jc w:val="left"/>
              <w:rPr>
                <w:rFonts w:hint="default" w:ascii="Times New Roman" w:hAnsi="Times New Roman" w:cs="Times New Roman"/>
                <w:sz w:val="28"/>
                <w:szCs w:val="28"/>
              </w:rPr>
            </w:pPr>
          </w:p>
        </w:tc>
        <w:tc>
          <w:tcPr>
            <w:tcW w:w="5004" w:type="dxa"/>
          </w:tcPr>
          <w:p w14:paraId="7238FB12">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本项目各包采购预算金额如下：</w:t>
            </w:r>
          </w:p>
          <w:p w14:paraId="51CFBCAB">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w:t>
            </w:r>
            <w:r>
              <w:rPr>
                <w:rFonts w:hint="default" w:ascii="Times New Roman" w:hAnsi="Times New Roman" w:eastAsia="仿宋_GB2312" w:cs="Times New Roman"/>
                <w:sz w:val="28"/>
                <w:szCs w:val="28"/>
                <w:lang w:val="en-US" w:eastAsia="zh-CN"/>
              </w:rPr>
              <w:t>2550</w:t>
            </w:r>
            <w:r>
              <w:rPr>
                <w:rFonts w:hint="default" w:ascii="Times New Roman" w:hAnsi="Times New Roman" w:eastAsia="仿宋_GB2312" w:cs="Times New Roman"/>
                <w:sz w:val="28"/>
                <w:szCs w:val="28"/>
              </w:rPr>
              <w:t>000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00元</w:t>
            </w:r>
          </w:p>
          <w:p w14:paraId="46A4EBA2">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投标人报价不得超过招标文件中规定的预算金额，采购人可以在采购预算内合理设定最高限价，投标人报价不得超过最高限价，最高限价详见第三章。</w:t>
            </w:r>
          </w:p>
        </w:tc>
      </w:tr>
      <w:tr w14:paraId="04EA1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B39F44D">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2</w:t>
            </w:r>
          </w:p>
        </w:tc>
        <w:tc>
          <w:tcPr>
            <w:tcW w:w="2252" w:type="dxa"/>
          </w:tcPr>
          <w:p w14:paraId="0A0042B7">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评标方法</w:t>
            </w:r>
          </w:p>
        </w:tc>
        <w:tc>
          <w:tcPr>
            <w:tcW w:w="5004" w:type="dxa"/>
          </w:tcPr>
          <w:p w14:paraId="15F2D29B">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采购包1：综合评分法 （具体规则详见第五章）</w:t>
            </w:r>
          </w:p>
        </w:tc>
      </w:tr>
      <w:tr w14:paraId="21414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C7E443B">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3</w:t>
            </w:r>
          </w:p>
        </w:tc>
        <w:tc>
          <w:tcPr>
            <w:tcW w:w="2252" w:type="dxa"/>
          </w:tcPr>
          <w:p w14:paraId="42722F80">
            <w:pPr>
              <w:pStyle w:val="23"/>
              <w:jc w:val="left"/>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是否接受联合体</w:t>
            </w:r>
            <w:r>
              <w:rPr>
                <w:rFonts w:hint="default" w:ascii="Times New Roman" w:hAnsi="Times New Roman" w:eastAsia="仿宋_GB2312" w:cs="Times New Roman"/>
                <w:b/>
                <w:sz w:val="32"/>
                <w:szCs w:val="32"/>
              </w:rPr>
              <w:t>*</w:t>
            </w:r>
          </w:p>
          <w:p w14:paraId="291F4DC0">
            <w:pPr>
              <w:pStyle w:val="23"/>
              <w:jc w:val="left"/>
              <w:rPr>
                <w:rFonts w:hint="default" w:ascii="Times New Roman" w:hAnsi="Times New Roman" w:cs="Times New Roman"/>
                <w:sz w:val="28"/>
                <w:szCs w:val="28"/>
              </w:rPr>
            </w:pPr>
          </w:p>
        </w:tc>
        <w:tc>
          <w:tcPr>
            <w:tcW w:w="5004" w:type="dxa"/>
          </w:tcPr>
          <w:p w14:paraId="23BBAF31">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采购包1：不接受联合体</w:t>
            </w:r>
          </w:p>
          <w:p w14:paraId="67729E1D">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如接受联合体，需符合以下要求：</w:t>
            </w:r>
          </w:p>
          <w:p w14:paraId="7132F504">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一、两个以上供应商可以组成一个联合体，以一个投标人的身份参加投标。联合体应当确定其中一方为本次采购活动的牵头单位，代表联合体处理参加采购活动的一切事务。以联合体形式参加政府采购活动的，联合体各方不得再单独参加或者与其他供应商另外组成联合体参加同一合同项下的政府采购活动。</w:t>
            </w:r>
          </w:p>
          <w:p w14:paraId="0220A5FE">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二、参加联合体的供应商均应当具备政府采购法第二十二条规定的条件，并应当向采购人提交联合协议，载明联合体各方承担的工作和义务。联合体中有同类资质的供应商按照联合体分工承担相同工作的，应当按照资质等级较低的供应商确定资质等级。按照联合体分工承担不同工作的供应商，应当具备承担对应工作内容的特定资格条件。</w:t>
            </w:r>
          </w:p>
          <w:p w14:paraId="692CBF08">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三、联合体各方应当共同与采购人签订采购合同，就采购合同约定的事项对采购人承担连带责任。</w:t>
            </w:r>
          </w:p>
        </w:tc>
      </w:tr>
      <w:tr w14:paraId="25273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5CA7220">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4</w:t>
            </w:r>
          </w:p>
        </w:tc>
        <w:tc>
          <w:tcPr>
            <w:tcW w:w="2252" w:type="dxa"/>
          </w:tcPr>
          <w:p w14:paraId="73F20BED">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sz w:val="28"/>
                <w:szCs w:val="28"/>
              </w:rPr>
              <w:t>投标（响应）保证金</w:t>
            </w:r>
            <w:r>
              <w:rPr>
                <w:rFonts w:hint="default" w:ascii="Times New Roman" w:hAnsi="Times New Roman" w:eastAsia="仿宋_GB2312" w:cs="Times New Roman"/>
                <w:b/>
                <w:sz w:val="32"/>
                <w:szCs w:val="32"/>
              </w:rPr>
              <w:t>*</w:t>
            </w:r>
          </w:p>
        </w:tc>
        <w:tc>
          <w:tcPr>
            <w:tcW w:w="5004" w:type="dxa"/>
          </w:tcPr>
          <w:p w14:paraId="17695B1C">
            <w:pPr>
              <w:pStyle w:val="23"/>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本项目收取投标保证金为51200.00元。形式：银行转账、支票、汇票、本票等非现金形式；退还时间：</w:t>
            </w:r>
            <w:r>
              <w:rPr>
                <w:rFonts w:hint="default" w:ascii="Times New Roman" w:hAnsi="Times New Roman" w:eastAsia="仿宋_GB2312" w:cs="Times New Roman"/>
                <w:sz w:val="28"/>
                <w:szCs w:val="28"/>
              </w:rPr>
              <w:t>未中标人的投标保证金在中标通知书发出之日起5个工作日内退还，中标人</w:t>
            </w:r>
            <w:r>
              <w:rPr>
                <w:rFonts w:hint="default" w:ascii="Times New Roman" w:hAnsi="Times New Roman" w:eastAsia="仿宋_GB2312" w:cs="Times New Roman"/>
                <w:sz w:val="28"/>
                <w:szCs w:val="28"/>
                <w:lang w:val="en-US" w:eastAsia="zh-CN"/>
              </w:rPr>
              <w:t>的投标保证金在验收合格之日起5个工作日内退还。</w:t>
            </w:r>
          </w:p>
        </w:tc>
      </w:tr>
      <w:tr w14:paraId="5894C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019ED62">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5</w:t>
            </w:r>
          </w:p>
        </w:tc>
        <w:tc>
          <w:tcPr>
            <w:tcW w:w="2252" w:type="dxa"/>
          </w:tcPr>
          <w:p w14:paraId="58724FF5">
            <w:pPr>
              <w:pStyle w:val="23"/>
              <w:jc w:val="left"/>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履约保证金</w:t>
            </w:r>
            <w:r>
              <w:rPr>
                <w:rFonts w:hint="default" w:ascii="Times New Roman" w:hAnsi="Times New Roman" w:eastAsia="仿宋_GB2312" w:cs="Times New Roman"/>
                <w:b/>
                <w:sz w:val="32"/>
                <w:szCs w:val="32"/>
              </w:rPr>
              <w:t>*</w:t>
            </w:r>
          </w:p>
          <w:p w14:paraId="25AACF48">
            <w:pPr>
              <w:pStyle w:val="23"/>
              <w:jc w:val="left"/>
              <w:rPr>
                <w:rFonts w:hint="default" w:ascii="Times New Roman" w:hAnsi="Times New Roman" w:cs="Times New Roman"/>
                <w:sz w:val="28"/>
                <w:szCs w:val="28"/>
              </w:rPr>
            </w:pPr>
          </w:p>
        </w:tc>
        <w:tc>
          <w:tcPr>
            <w:tcW w:w="5004" w:type="dxa"/>
          </w:tcPr>
          <w:p w14:paraId="02DBB8F0">
            <w:pPr>
              <w:pStyle w:val="28"/>
              <w:snapToGrid w:val="0"/>
              <w:spacing w:line="360" w:lineRule="auto"/>
              <w:rPr>
                <w:rFonts w:hint="default" w:ascii="Times New Roman" w:hAnsi="Times New Roman" w:eastAsia="仿宋_GB2312" w:cs="Times New Roman"/>
                <w:kern w:val="0"/>
                <w:sz w:val="28"/>
                <w:szCs w:val="28"/>
                <w:lang w:val="en-US" w:eastAsia="zh-Hans"/>
              </w:rPr>
            </w:pPr>
            <w:r>
              <w:rPr>
                <w:rFonts w:hint="default" w:ascii="Times New Roman" w:hAnsi="Times New Roman" w:eastAsia="仿宋_GB2312" w:cs="Times New Roman"/>
                <w:kern w:val="0"/>
                <w:sz w:val="28"/>
                <w:szCs w:val="28"/>
                <w:lang w:val="en-US" w:eastAsia="zh-Hans"/>
              </w:rPr>
              <w:t>履约保证金金额：合同总价的</w:t>
            </w:r>
            <w:r>
              <w:rPr>
                <w:rFonts w:hint="default" w:ascii="Times New Roman" w:hAnsi="Times New Roman" w:eastAsia="仿宋_GB2312" w:cs="Times New Roman"/>
                <w:kern w:val="0"/>
                <w:sz w:val="28"/>
                <w:szCs w:val="28"/>
                <w:lang w:val="en-US" w:eastAsia="zh-CN"/>
              </w:rPr>
              <w:t>5</w:t>
            </w:r>
            <w:r>
              <w:rPr>
                <w:rFonts w:hint="default" w:ascii="Times New Roman" w:hAnsi="Times New Roman" w:eastAsia="仿宋_GB2312" w:cs="Times New Roman"/>
                <w:kern w:val="0"/>
                <w:sz w:val="28"/>
                <w:szCs w:val="28"/>
                <w:lang w:val="en-US" w:eastAsia="zh-Hans"/>
              </w:rPr>
              <w:t>%</w:t>
            </w:r>
          </w:p>
          <w:p w14:paraId="640BC86F">
            <w:pPr>
              <w:pStyle w:val="28"/>
              <w:snapToGrid w:val="0"/>
              <w:spacing w:line="360" w:lineRule="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kern w:val="0"/>
                <w:sz w:val="28"/>
                <w:szCs w:val="28"/>
                <w:lang w:val="en-US" w:eastAsia="zh-Hans"/>
              </w:rPr>
              <w:t>履约保证金形式</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lang w:val="en-US" w:eastAsia="zh-Hans"/>
              </w:rPr>
              <w:t>支票、汇票、本票、转账或者金融机构、担保机构出具的保函等非现金形式提交</w:t>
            </w:r>
            <w:r>
              <w:rPr>
                <w:rFonts w:hint="default" w:ascii="Times New Roman" w:hAnsi="Times New Roman" w:eastAsia="仿宋_GB2312" w:cs="Times New Roman"/>
                <w:kern w:val="0"/>
                <w:sz w:val="28"/>
                <w:szCs w:val="28"/>
                <w:lang w:val="en-US" w:eastAsia="zh-CN"/>
              </w:rPr>
              <w:t>。</w:t>
            </w:r>
          </w:p>
        </w:tc>
      </w:tr>
      <w:tr w14:paraId="519ED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1B13DA7">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6</w:t>
            </w:r>
          </w:p>
        </w:tc>
        <w:tc>
          <w:tcPr>
            <w:tcW w:w="2252" w:type="dxa"/>
          </w:tcPr>
          <w:p w14:paraId="55E5628A">
            <w:pPr>
              <w:pStyle w:val="23"/>
              <w:jc w:val="left"/>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投标有效期</w:t>
            </w:r>
            <w:r>
              <w:rPr>
                <w:rFonts w:hint="default" w:ascii="Times New Roman" w:hAnsi="Times New Roman" w:eastAsia="仿宋_GB2312" w:cs="Times New Roman"/>
                <w:b/>
                <w:sz w:val="32"/>
                <w:szCs w:val="32"/>
              </w:rPr>
              <w:t>*</w:t>
            </w:r>
          </w:p>
          <w:p w14:paraId="58750227">
            <w:pPr>
              <w:pStyle w:val="23"/>
              <w:jc w:val="left"/>
              <w:rPr>
                <w:rFonts w:hint="default" w:ascii="Times New Roman" w:hAnsi="Times New Roman" w:cs="Times New Roman"/>
                <w:sz w:val="28"/>
                <w:szCs w:val="28"/>
              </w:rPr>
            </w:pPr>
          </w:p>
        </w:tc>
        <w:tc>
          <w:tcPr>
            <w:tcW w:w="5004" w:type="dxa"/>
          </w:tcPr>
          <w:p w14:paraId="7098700E">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提交投标文件的截止之日起不少于90 天。投标文件未明确投标有效期或者少于前述规定天数的，其投标文件按无效处理。</w:t>
            </w:r>
          </w:p>
        </w:tc>
      </w:tr>
      <w:tr w14:paraId="3DD27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D3686D8">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7</w:t>
            </w:r>
          </w:p>
        </w:tc>
        <w:tc>
          <w:tcPr>
            <w:tcW w:w="2252" w:type="dxa"/>
          </w:tcPr>
          <w:p w14:paraId="5DCC0A7C">
            <w:pPr>
              <w:pStyle w:val="23"/>
              <w:jc w:val="left"/>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代理服务费</w:t>
            </w:r>
            <w:r>
              <w:rPr>
                <w:rFonts w:hint="default" w:ascii="Times New Roman" w:hAnsi="Times New Roman" w:eastAsia="仿宋_GB2312" w:cs="Times New Roman"/>
                <w:b/>
                <w:sz w:val="32"/>
                <w:szCs w:val="32"/>
              </w:rPr>
              <w:t>*</w:t>
            </w:r>
          </w:p>
          <w:p w14:paraId="61CC2FB0">
            <w:pPr>
              <w:pStyle w:val="23"/>
              <w:jc w:val="left"/>
              <w:rPr>
                <w:rFonts w:hint="default" w:ascii="Times New Roman" w:hAnsi="Times New Roman" w:cs="Times New Roman"/>
                <w:sz w:val="28"/>
                <w:szCs w:val="28"/>
              </w:rPr>
            </w:pPr>
          </w:p>
        </w:tc>
        <w:tc>
          <w:tcPr>
            <w:tcW w:w="5004" w:type="dxa"/>
          </w:tcPr>
          <w:p w14:paraId="55322B9D">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28"/>
                <w:szCs w:val="28"/>
              </w:rPr>
              <w:t>本项目收取代理服务费</w:t>
            </w:r>
          </w:p>
          <w:p w14:paraId="598A78C0">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28"/>
                <w:szCs w:val="28"/>
              </w:rPr>
              <w:t>代理服务费用收取对象：中标人</w:t>
            </w:r>
          </w:p>
          <w:p w14:paraId="1B482213">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sz w:val="28"/>
                <w:szCs w:val="28"/>
              </w:rPr>
            </w:pPr>
            <w:r>
              <w:rPr>
                <w:rFonts w:hint="default" w:ascii="Times New Roman" w:hAnsi="Times New Roman" w:eastAsia="仿宋_GB2312" w:cs="Times New Roman"/>
                <w:sz w:val="28"/>
                <w:szCs w:val="28"/>
              </w:rPr>
              <w:t>代理服务费收费标准：</w:t>
            </w:r>
            <w:bookmarkStart w:id="12" w:name="OLE_LINK1"/>
            <w:r>
              <w:rPr>
                <w:rFonts w:hint="default" w:ascii="Times New Roman" w:hAnsi="Times New Roman" w:eastAsia="仿宋_GB2312" w:cs="Times New Roman"/>
                <w:sz w:val="28"/>
                <w:szCs w:val="28"/>
                <w:lang w:val="en-US" w:eastAsia="zh-CN"/>
              </w:rPr>
              <w:t>收费标准参照国家计委《招标代理服务收费管理暂行办法》（计价格[2002]1980号）收费标准执行</w:t>
            </w:r>
            <w:bookmarkEnd w:id="12"/>
            <w:r>
              <w:rPr>
                <w:rFonts w:hint="default" w:ascii="Times New Roman" w:hAnsi="Times New Roman" w:eastAsia="仿宋_GB2312" w:cs="Times New Roman"/>
                <w:sz w:val="28"/>
                <w:szCs w:val="28"/>
                <w:lang w:val="en-US" w:eastAsia="zh-CN"/>
              </w:rPr>
              <w:t>。</w:t>
            </w:r>
          </w:p>
        </w:tc>
      </w:tr>
      <w:tr w14:paraId="26298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5FB03CF">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8</w:t>
            </w:r>
          </w:p>
        </w:tc>
        <w:tc>
          <w:tcPr>
            <w:tcW w:w="2252" w:type="dxa"/>
          </w:tcPr>
          <w:p w14:paraId="5AD33A62">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中标结果公告</w:t>
            </w:r>
          </w:p>
        </w:tc>
        <w:tc>
          <w:tcPr>
            <w:tcW w:w="5004" w:type="dxa"/>
          </w:tcPr>
          <w:p w14:paraId="0957D321">
            <w:pPr>
              <w:pStyle w:val="23"/>
              <w:jc w:val="left"/>
              <w:rPr>
                <w:rFonts w:hint="default" w:ascii="Times New Roman" w:hAnsi="Times New Roman" w:cs="Times New Roman"/>
                <w:sz w:val="28"/>
                <w:szCs w:val="28"/>
              </w:rPr>
            </w:pPr>
            <w:r>
              <w:rPr>
                <w:rFonts w:hint="default" w:ascii="Times New Roman" w:hAnsi="Times New Roman" w:eastAsia="仿宋_GB2312" w:cs="Times New Roman"/>
                <w:color w:val="auto"/>
                <w:sz w:val="28"/>
                <w:szCs w:val="28"/>
                <w:highlight w:val="none"/>
              </w:rPr>
              <w:t>中标结果将在云南省公共资源交易信息网予以公告。</w:t>
            </w:r>
          </w:p>
        </w:tc>
      </w:tr>
      <w:tr w14:paraId="20A62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4E65B79">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9</w:t>
            </w:r>
          </w:p>
        </w:tc>
        <w:tc>
          <w:tcPr>
            <w:tcW w:w="2252" w:type="dxa"/>
          </w:tcPr>
          <w:p w14:paraId="4DF1AADD">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是否组织潜在投标人现场考察</w:t>
            </w:r>
          </w:p>
        </w:tc>
        <w:tc>
          <w:tcPr>
            <w:tcW w:w="5004" w:type="dxa"/>
          </w:tcPr>
          <w:p w14:paraId="6E6983B5">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采购包1：否</w:t>
            </w:r>
          </w:p>
        </w:tc>
      </w:tr>
      <w:tr w14:paraId="40091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928891C">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10</w:t>
            </w:r>
          </w:p>
        </w:tc>
        <w:tc>
          <w:tcPr>
            <w:tcW w:w="2252" w:type="dxa"/>
          </w:tcPr>
          <w:p w14:paraId="567920CB">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是否召开开标前答疑会</w:t>
            </w:r>
          </w:p>
        </w:tc>
        <w:tc>
          <w:tcPr>
            <w:tcW w:w="5004" w:type="dxa"/>
          </w:tcPr>
          <w:p w14:paraId="36DF9247">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本项目不组织标前答疑</w:t>
            </w:r>
          </w:p>
        </w:tc>
      </w:tr>
      <w:tr w14:paraId="74ACB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FFCD063">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11</w:t>
            </w:r>
          </w:p>
        </w:tc>
        <w:tc>
          <w:tcPr>
            <w:tcW w:w="2252" w:type="dxa"/>
          </w:tcPr>
          <w:p w14:paraId="6BFA059F">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特殊情况</w:t>
            </w:r>
          </w:p>
        </w:tc>
        <w:tc>
          <w:tcPr>
            <w:tcW w:w="5004" w:type="dxa"/>
          </w:tcPr>
          <w:p w14:paraId="329D96EB">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出现下列情形之一的，采购人或者代理机构应当中止电子化采购活动，并保留相关证明材料备查：</w:t>
            </w:r>
          </w:p>
          <w:p w14:paraId="2719B937">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一、交易系统发生故障（包括感染病毒、应用或数据库出错）而无法正常使用的；</w:t>
            </w:r>
          </w:p>
          <w:p w14:paraId="328AC660">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二、因组织场所停电、断网等原因，导致采购活动无法继续通过交易系统实施的；</w:t>
            </w:r>
          </w:p>
          <w:p w14:paraId="56BDD990">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三、其他无法保证电子化交易的公平、公正和安全的情况。</w:t>
            </w:r>
          </w:p>
          <w:p w14:paraId="6AA2D7DB">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出现上述的情形，不影响采购公平、公正的，采购人或者代理机构可以待上述情形消除后继续组织采购活动；影响或者可能影响采购公平、公正的，采购人或者代理机构应当依法终止采购活动。</w:t>
            </w:r>
          </w:p>
          <w:p w14:paraId="0B93915A">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注：</w:t>
            </w:r>
          </w:p>
          <w:p w14:paraId="59F57E4C">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1.平台系统故障认定以</w:t>
            </w:r>
            <w:r>
              <w:rPr>
                <w:rFonts w:hint="default" w:ascii="Times New Roman" w:hAnsi="Times New Roman" w:eastAsia="仿宋_GB2312" w:cs="Times New Roman"/>
                <w:sz w:val="28"/>
                <w:szCs w:val="28"/>
                <w:lang w:eastAsia="zh-CN"/>
              </w:rPr>
              <w:t>云南</w:t>
            </w:r>
            <w:r>
              <w:rPr>
                <w:rFonts w:hint="default" w:ascii="Times New Roman" w:hAnsi="Times New Roman" w:eastAsia="仿宋_GB2312" w:cs="Times New Roman"/>
                <w:sz w:val="28"/>
                <w:szCs w:val="28"/>
              </w:rPr>
              <w:t>政府采购网发布的系统运维通知内容为准；</w:t>
            </w:r>
          </w:p>
          <w:p w14:paraId="790690E0">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 xml:space="preserve"> 2.故障处理详见第二章规定。</w:t>
            </w:r>
          </w:p>
        </w:tc>
      </w:tr>
      <w:tr w14:paraId="1EFF7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598F67D">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12</w:t>
            </w:r>
          </w:p>
        </w:tc>
        <w:tc>
          <w:tcPr>
            <w:tcW w:w="2252" w:type="dxa"/>
          </w:tcPr>
          <w:p w14:paraId="010694B9">
            <w:pPr>
              <w:pStyle w:val="23"/>
              <w:jc w:val="left"/>
              <w:rPr>
                <w:rFonts w:hint="default" w:ascii="Times New Roman" w:hAnsi="Times New Roman" w:cs="Times New Roman" w:eastAsiaTheme="minorEastAsia"/>
                <w:sz w:val="28"/>
                <w:szCs w:val="28"/>
                <w:lang w:val="en-US" w:eastAsia="zh-CN"/>
              </w:rPr>
            </w:pPr>
            <w:r>
              <w:rPr>
                <w:rFonts w:hint="default" w:ascii="Times New Roman" w:hAnsi="Times New Roman" w:eastAsia="仿宋_GB2312" w:cs="Times New Roman"/>
                <w:sz w:val="28"/>
                <w:szCs w:val="28"/>
                <w:lang w:val="en-US" w:eastAsia="zh-CN"/>
              </w:rPr>
              <w:t>验收标准</w:t>
            </w:r>
          </w:p>
        </w:tc>
        <w:tc>
          <w:tcPr>
            <w:tcW w:w="5004" w:type="dxa"/>
          </w:tcPr>
          <w:p w14:paraId="71869D60">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按照本项目招标文件、投标文件、《财政部关于进一步加强政府采购需求和履约验收管理的指导意见》（财库</w:t>
            </w:r>
            <w:r>
              <w:rPr>
                <w:rFonts w:hint="default" w:ascii="Times New Roman" w:hAnsi="Times New Roman" w:eastAsia="仿宋_GB2312" w:cs="Times New Roman"/>
                <w:sz w:val="28"/>
                <w:szCs w:val="28"/>
                <w:highlight w:val="none"/>
              </w:rPr>
              <w:t>[201</w:t>
            </w:r>
            <w:r>
              <w:rPr>
                <w:rFonts w:hint="default" w:ascii="Times New Roman" w:hAnsi="Times New Roman" w:eastAsia="仿宋_GB2312" w:cs="Times New Roman"/>
                <w:sz w:val="28"/>
                <w:szCs w:val="28"/>
                <w:highlight w:val="none"/>
                <w:lang w:val="en-US" w:eastAsia="zh-CN"/>
              </w:rPr>
              <w:t>8</w:t>
            </w:r>
            <w:r>
              <w:rPr>
                <w:rFonts w:hint="default" w:ascii="Times New Roman" w:hAnsi="Times New Roman" w:eastAsia="仿宋_GB2312" w:cs="Times New Roman"/>
                <w:sz w:val="28"/>
                <w:szCs w:val="28"/>
                <w:highlight w:val="none"/>
              </w:rPr>
              <w:t>]205号）</w:t>
            </w:r>
            <w:r>
              <w:rPr>
                <w:rFonts w:hint="default" w:ascii="Times New Roman" w:hAnsi="Times New Roman" w:eastAsia="仿宋_GB2312" w:cs="Times New Roman"/>
                <w:sz w:val="28"/>
                <w:szCs w:val="28"/>
              </w:rPr>
              <w:t>、《政府采购需求管理办法》财库〔2021〕22号以及国家相关规定进行验收。</w:t>
            </w:r>
          </w:p>
        </w:tc>
      </w:tr>
      <w:tr w14:paraId="088EB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0B0FCD2">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13</w:t>
            </w:r>
          </w:p>
        </w:tc>
        <w:tc>
          <w:tcPr>
            <w:tcW w:w="2252" w:type="dxa"/>
          </w:tcPr>
          <w:p w14:paraId="688FABA7">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实质性要求</w:t>
            </w:r>
          </w:p>
        </w:tc>
        <w:tc>
          <w:tcPr>
            <w:tcW w:w="5004" w:type="dxa"/>
          </w:tcPr>
          <w:p w14:paraId="7A80DA29">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sz w:val="28"/>
                <w:szCs w:val="28"/>
              </w:rPr>
              <w:t>本招标文件中“</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28"/>
                <w:szCs w:val="28"/>
              </w:rPr>
              <w:t>”要求为实质性要求。投标人应当按照第五章评标程序中的符合性审查规定，在投标文件中进行实质性响应，否则作无效投标处理。</w:t>
            </w:r>
          </w:p>
        </w:tc>
      </w:tr>
      <w:tr w14:paraId="7DA74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85F4D66">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14</w:t>
            </w:r>
          </w:p>
        </w:tc>
        <w:tc>
          <w:tcPr>
            <w:tcW w:w="2252" w:type="dxa"/>
          </w:tcPr>
          <w:p w14:paraId="1EA2125C">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其他说明</w:t>
            </w:r>
          </w:p>
        </w:tc>
        <w:tc>
          <w:tcPr>
            <w:tcW w:w="5004" w:type="dxa"/>
          </w:tcPr>
          <w:p w14:paraId="050BAD02">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本招标文件所称的“以上”、“以下”、“内”、“以内”、“不少于”包括本数；所称的“不足”、“低于”、“超过”不包括本数。</w:t>
            </w:r>
          </w:p>
        </w:tc>
      </w:tr>
    </w:tbl>
    <w:p w14:paraId="401BC4DB">
      <w:pPr>
        <w:pStyle w:val="23"/>
        <w:jc w:val="left"/>
        <w:outlineLvl w:val="2"/>
        <w:rPr>
          <w:rFonts w:hint="default" w:ascii="Times New Roman" w:hAnsi="Times New Roman" w:cs="Times New Roman"/>
          <w:sz w:val="28"/>
          <w:szCs w:val="28"/>
        </w:rPr>
      </w:pPr>
      <w:r>
        <w:rPr>
          <w:rFonts w:hint="default" w:ascii="Times New Roman" w:hAnsi="Times New Roman" w:eastAsia="仿宋_GB2312" w:cs="Times New Roman"/>
          <w:b/>
          <w:sz w:val="28"/>
          <w:szCs w:val="28"/>
        </w:rPr>
        <w:t>2.2.总则</w:t>
      </w:r>
    </w:p>
    <w:p w14:paraId="03F64587">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2.2.1.适用范围</w:t>
      </w:r>
    </w:p>
    <w:p w14:paraId="4F870D96">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一、本招标文件仅适用于本次公开招标采购项目。</w:t>
      </w:r>
    </w:p>
    <w:p w14:paraId="7FE17161">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二、本招标文件由</w:t>
      </w:r>
      <w:r>
        <w:rPr>
          <w:rFonts w:hint="default" w:ascii="Times New Roman" w:hAnsi="Times New Roman" w:eastAsia="仿宋_GB2312" w:cs="Times New Roman"/>
          <w:sz w:val="28"/>
          <w:szCs w:val="28"/>
          <w:highlight w:val="none"/>
          <w:lang w:eastAsia="zh-CN"/>
        </w:rPr>
        <w:t>大理州第二人民医院</w:t>
      </w:r>
      <w:r>
        <w:rPr>
          <w:rFonts w:hint="default" w:ascii="Times New Roman" w:hAnsi="Times New Roman" w:eastAsia="仿宋_GB2312" w:cs="Times New Roman"/>
          <w:sz w:val="28"/>
          <w:szCs w:val="28"/>
        </w:rPr>
        <w:t>负责解释。</w:t>
      </w:r>
    </w:p>
    <w:p w14:paraId="016B8EE6">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2.2.2.有关定义</w:t>
      </w:r>
    </w:p>
    <w:p w14:paraId="7A0C04F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一、“采购人”是指依法进行政府采购的国家机关、事业单位、团体组织。本次招标的采购人是</w:t>
      </w:r>
      <w:r>
        <w:rPr>
          <w:rFonts w:hint="default" w:ascii="Times New Roman" w:hAnsi="Times New Roman" w:eastAsia="仿宋_GB2312" w:cs="Times New Roman"/>
          <w:sz w:val="28"/>
          <w:szCs w:val="28"/>
          <w:lang w:eastAsia="zh-CN"/>
        </w:rPr>
        <w:t>大理州第二人民医院</w:t>
      </w:r>
      <w:r>
        <w:rPr>
          <w:rFonts w:hint="default" w:ascii="Times New Roman" w:hAnsi="Times New Roman" w:eastAsia="仿宋_GB2312" w:cs="Times New Roman"/>
          <w:sz w:val="28"/>
          <w:szCs w:val="28"/>
        </w:rPr>
        <w:t>。</w:t>
      </w:r>
    </w:p>
    <w:p w14:paraId="101C418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二、“投标人”是指按照采购公告规定获取招标文件，参加投标竞争的法人、其他组织或者自然人。</w:t>
      </w:r>
    </w:p>
    <w:p w14:paraId="1729706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w:t>
      </w:r>
      <w:r>
        <w:rPr>
          <w:rFonts w:hint="default" w:ascii="Times New Roman" w:hAnsi="Times New Roman" w:eastAsia="仿宋_GB2312" w:cs="Times New Roman"/>
          <w:sz w:val="28"/>
          <w:szCs w:val="28"/>
          <w:lang w:eastAsia="zh-CN"/>
        </w:rPr>
        <w:t>某采购代理机构</w:t>
      </w:r>
      <w:r>
        <w:rPr>
          <w:rFonts w:hint="default" w:ascii="Times New Roman" w:hAnsi="Times New Roman" w:eastAsia="仿宋_GB2312" w:cs="Times New Roman"/>
          <w:sz w:val="28"/>
          <w:szCs w:val="28"/>
        </w:rPr>
        <w:t xml:space="preserve"> ”是指从事采购代理业务的社会</w:t>
      </w:r>
      <w:r>
        <w:rPr>
          <w:rFonts w:hint="default" w:ascii="Times New Roman" w:hAnsi="Times New Roman" w:eastAsia="仿宋_GB2312" w:cs="Times New Roman"/>
          <w:sz w:val="28"/>
          <w:szCs w:val="28"/>
          <w:lang w:val="en-US" w:eastAsia="zh-CN"/>
        </w:rPr>
        <w:t>采购</w:t>
      </w:r>
      <w:r>
        <w:rPr>
          <w:rFonts w:hint="default" w:ascii="Times New Roman" w:hAnsi="Times New Roman" w:eastAsia="仿宋_GB2312" w:cs="Times New Roman"/>
          <w:sz w:val="28"/>
          <w:szCs w:val="28"/>
        </w:rPr>
        <w:t>机构。</w:t>
      </w:r>
    </w:p>
    <w:p w14:paraId="269B1A1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四、“网上开标”是指代理机构通过交易系统在线组织投标文件解密，投标人通过交易系统在线解密投标文件等活动。</w:t>
      </w:r>
    </w:p>
    <w:p w14:paraId="2458210E">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五、“电子评标”是指采购人或者代理机构开展资格审查，评标委员会开展符合性审查、比较与评价、推荐中标候选人、出具评标报告等活动。</w:t>
      </w:r>
    </w:p>
    <w:p w14:paraId="45B0AA4C">
      <w:pPr>
        <w:pStyle w:val="23"/>
        <w:jc w:val="left"/>
        <w:outlineLvl w:val="2"/>
        <w:rPr>
          <w:rFonts w:hint="default" w:ascii="Times New Roman" w:hAnsi="Times New Roman" w:cs="Times New Roman"/>
          <w:sz w:val="28"/>
          <w:szCs w:val="28"/>
        </w:rPr>
      </w:pPr>
      <w:r>
        <w:rPr>
          <w:rFonts w:hint="default" w:ascii="Times New Roman" w:hAnsi="Times New Roman" w:eastAsia="仿宋_GB2312" w:cs="Times New Roman"/>
          <w:b/>
          <w:sz w:val="28"/>
          <w:szCs w:val="28"/>
        </w:rPr>
        <w:t>2.3.招标文件</w:t>
      </w:r>
    </w:p>
    <w:p w14:paraId="2DEA9551">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2.3.1.招标文件的构成</w:t>
      </w:r>
    </w:p>
    <w:p w14:paraId="1C656C23">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招标文件由采购人、代理机构编制，是项目采购活动开展的基本依据，主要包括以下内容：</w:t>
      </w:r>
    </w:p>
    <w:p w14:paraId="637C1B2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一、投标邀请；</w:t>
      </w:r>
    </w:p>
    <w:p w14:paraId="44465E8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二、投标人须知；</w:t>
      </w:r>
    </w:p>
    <w:p w14:paraId="0473597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三、技术、服务及其他要求；</w:t>
      </w:r>
    </w:p>
    <w:p w14:paraId="06183CFC">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四、资格审查；</w:t>
      </w:r>
    </w:p>
    <w:p w14:paraId="458B259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五、评标办法；</w:t>
      </w:r>
    </w:p>
    <w:p w14:paraId="44B71067">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六、投标文件格式；</w:t>
      </w:r>
    </w:p>
    <w:p w14:paraId="276AA273">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七、拟签订采购合同文本。</w:t>
      </w:r>
    </w:p>
    <w:p w14:paraId="0D243EAC">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2.3.2.招标文件的澄清和修改</w:t>
      </w:r>
    </w:p>
    <w:p w14:paraId="0CBD2F50">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一、投标截止时间前，采购人或者代理机构可以对已发出的招标文件进行必要的澄清或者修改，但不得改变采购标的和资格条件。</w:t>
      </w:r>
    </w:p>
    <w:p w14:paraId="12D3B90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二、澄清或者修改的内容为招标文件的组成部分，采购人或者代理机构将在</w:t>
      </w:r>
      <w:r>
        <w:rPr>
          <w:rFonts w:hint="default" w:ascii="Times New Roman" w:hAnsi="Times New Roman" w:eastAsia="仿宋_GB2312" w:cs="Times New Roman"/>
          <w:sz w:val="28"/>
          <w:szCs w:val="28"/>
          <w:lang w:eastAsia="zh-CN"/>
        </w:rPr>
        <w:t>云南</w:t>
      </w:r>
      <w:r>
        <w:rPr>
          <w:rFonts w:hint="default" w:ascii="Times New Roman" w:hAnsi="Times New Roman" w:eastAsia="仿宋_GB2312" w:cs="Times New Roman"/>
          <w:sz w:val="28"/>
          <w:szCs w:val="28"/>
        </w:rPr>
        <w:t>政府采购网发布更正公告，并将更正后的招标文件上传至交易系统。更正内容可能影响投标文件编制的，采购人或者代理机构应当在投标截止时间至少15日前，通过交易系统向已获取招标文件的投标人发送更正信息；不足15日的，采购人或者代理机构应当顺延提交投标文件的截止时间。</w:t>
      </w:r>
    </w:p>
    <w:p w14:paraId="45515CA6">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三、投标人根据更正公告、更正信息要求，下载更正后的招标文件，进行投标文件编制。</w:t>
      </w:r>
    </w:p>
    <w:p w14:paraId="2487FE0D">
      <w:pPr>
        <w:pStyle w:val="23"/>
        <w:jc w:val="left"/>
        <w:outlineLvl w:val="2"/>
        <w:rPr>
          <w:rFonts w:hint="default" w:ascii="Times New Roman" w:hAnsi="Times New Roman" w:cs="Times New Roman"/>
          <w:sz w:val="28"/>
          <w:szCs w:val="28"/>
        </w:rPr>
      </w:pPr>
      <w:r>
        <w:rPr>
          <w:rFonts w:hint="default" w:ascii="Times New Roman" w:hAnsi="Times New Roman" w:eastAsia="仿宋_GB2312" w:cs="Times New Roman"/>
          <w:b/>
          <w:sz w:val="28"/>
          <w:szCs w:val="28"/>
        </w:rPr>
        <w:t>2.4.投标文件</w:t>
      </w:r>
    </w:p>
    <w:p w14:paraId="04DAFE33">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2.4.1.投标文件的语言</w:t>
      </w:r>
    </w:p>
    <w:p w14:paraId="25D6E69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投标人提交的投标文件以及投标人与评标委员会在评标过程中的所有来往书面文件原则上使用中文。投标文件中如附有外文资料，要对应翻译成中文并附在相关外文资料后面，未翻译的外文资料，评标委员会将视其为无效材料，但以下情形除外：</w:t>
      </w:r>
    </w:p>
    <w:p w14:paraId="744903D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（一）投标人的法定代表人为外籍人士的，法定代表人的签字和护照。</w:t>
      </w:r>
    </w:p>
    <w:p w14:paraId="0276058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（二）对于如生产厂家授权书、原厂技术证明资料及一些行业标准、国家标准、国际标准或者行业认证等需要以非中文表述且不宜翻译为中文的。</w:t>
      </w:r>
    </w:p>
    <w:p w14:paraId="24F36BE1">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二、翻译的中文资料与外文资料如果出现差异和矛盾，以中文为准。涉嫌提供虚假材料的按照相关法律法规处理。</w:t>
      </w:r>
    </w:p>
    <w:p w14:paraId="6CBF7EB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三、如因未翻译而造成对投标人的不利后果，由投标人承担。</w:t>
      </w:r>
    </w:p>
    <w:p w14:paraId="5681F2CF">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2.4.2.计量单位</w:t>
      </w:r>
      <w:r>
        <w:rPr>
          <w:rFonts w:hint="default" w:ascii="Times New Roman" w:hAnsi="Times New Roman" w:eastAsia="仿宋_GB2312" w:cs="Times New Roman"/>
          <w:b/>
          <w:sz w:val="32"/>
          <w:szCs w:val="32"/>
        </w:rPr>
        <w:t>*</w:t>
      </w:r>
    </w:p>
    <w:p w14:paraId="72F7B0E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除招标文件中另有规定外，本项目均采用国家法定的计量单位。</w:t>
      </w:r>
    </w:p>
    <w:p w14:paraId="4EA47AAE">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2.4.3.投标货币</w:t>
      </w:r>
      <w:r>
        <w:rPr>
          <w:rFonts w:hint="default" w:ascii="Times New Roman" w:hAnsi="Times New Roman" w:eastAsia="仿宋_GB2312" w:cs="Times New Roman"/>
          <w:b/>
          <w:sz w:val="32"/>
          <w:szCs w:val="32"/>
        </w:rPr>
        <w:t>*</w:t>
      </w:r>
    </w:p>
    <w:p w14:paraId="2B1DD30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本项目均以人民币报价。</w:t>
      </w:r>
    </w:p>
    <w:p w14:paraId="6E5117C0">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2.4.4.知识产权</w:t>
      </w:r>
      <w:r>
        <w:rPr>
          <w:rFonts w:hint="default" w:ascii="Times New Roman" w:hAnsi="Times New Roman" w:eastAsia="仿宋_GB2312" w:cs="Times New Roman"/>
          <w:b/>
          <w:sz w:val="32"/>
          <w:szCs w:val="32"/>
        </w:rPr>
        <w:t>*</w:t>
      </w:r>
    </w:p>
    <w:p w14:paraId="548C0A9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投标人应保证在本项目中使用的任何技术、产品和服务（包括部分使用），不会产生因第三方提出侵犯其专利权、商标权或其它知识产权而引起的法律和经济纠纷，如存在前述情形，由投标人承担所有相关责任，并且赔偿由此给采购人带来的损失。采购人享有本项目实施过程中产生的知识成果及知识产权。</w:t>
      </w:r>
    </w:p>
    <w:p w14:paraId="4606377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14:paraId="22B9DA8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三、如使用投标人所不拥有的知识产权，则在投标报价中必须包括合法使用该知识产权的相关费用。</w:t>
      </w:r>
    </w:p>
    <w:p w14:paraId="084EFC79">
      <w:pPr>
        <w:pStyle w:val="23"/>
        <w:jc w:val="left"/>
        <w:outlineLvl w:val="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28"/>
          <w:szCs w:val="28"/>
        </w:rPr>
        <w:t>2.4.5.投标报价</w:t>
      </w:r>
      <w:r>
        <w:rPr>
          <w:rFonts w:hint="default" w:ascii="Times New Roman" w:hAnsi="Times New Roman" w:eastAsia="仿宋_GB2312" w:cs="Times New Roman"/>
          <w:b/>
          <w:sz w:val="32"/>
          <w:szCs w:val="32"/>
        </w:rPr>
        <w:t>*</w:t>
      </w:r>
    </w:p>
    <w:p w14:paraId="506CD4A9">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人的报价是其响应本项目要求的全部工作内容的价格体现或者结算标准，包括投标人完成本项目所需的一切费用。投标人对采购内容报价要求中的每一项报价内容只允许有一个报价，任何有选择或可调整的报价将不予接受。</w:t>
      </w:r>
    </w:p>
    <w:p w14:paraId="39C0237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按照招标文件第</w:t>
      </w:r>
      <w:r>
        <w:rPr>
          <w:rFonts w:hint="eastAsia"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rPr>
        <w:t>章评标办法规定进行价格修正的，修正后的报价经投标人加盖电子印章确认后产生约束力。未在规定时间内确认的，视同投标人不确认，其投标无效。</w:t>
      </w:r>
    </w:p>
    <w:p w14:paraId="647E9BB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在评标过程中，评标委员会认为投标人投标报价明显低于其他通过符合性审查投标人的投标报价，有可能影响产品质量或者不能诚信履约的，评标委员会应当要求其在合理的时间内通过交易系统进行书面说明并加盖电子印章，必要时提交相关证明材料。投标人应当在评标委员会要求的时间内通过交易系统提交书面说明，必要时提交相关证明材料；投标人不能证明其报价合理性的，评标委员会应当将其作为无效投标处理。</w:t>
      </w:r>
    </w:p>
    <w:p w14:paraId="55557D20">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2.4.6.投标文件的编制、签章和加密</w:t>
      </w:r>
      <w:r>
        <w:rPr>
          <w:rFonts w:hint="default" w:ascii="Times New Roman" w:hAnsi="Times New Roman" w:eastAsia="仿宋_GB2312" w:cs="Times New Roman"/>
          <w:b/>
          <w:sz w:val="32"/>
          <w:szCs w:val="32"/>
        </w:rPr>
        <w:t>*</w:t>
      </w:r>
    </w:p>
    <w:p w14:paraId="54765A35">
      <w:pPr>
        <w:pStyle w:val="23"/>
        <w:ind w:firstLine="48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一、投标人应当按照招标文件规定编制投标文件，招标文件第</w:t>
      </w:r>
      <w:r>
        <w:rPr>
          <w:rFonts w:hint="eastAsia" w:ascii="Times New Roman" w:hAnsi="Times New Roman" w:eastAsia="仿宋_GB2312" w:cs="Times New Roman"/>
          <w:sz w:val="28"/>
          <w:szCs w:val="28"/>
          <w:lang w:val="en-US" w:eastAsia="zh-CN"/>
        </w:rPr>
        <w:t>六</w:t>
      </w:r>
      <w:r>
        <w:rPr>
          <w:rFonts w:hint="default" w:ascii="Times New Roman" w:hAnsi="Times New Roman" w:eastAsia="仿宋_GB2312" w:cs="Times New Roman"/>
          <w:sz w:val="28"/>
          <w:szCs w:val="28"/>
        </w:rPr>
        <w:t>章对投标文件格式有要求的，按照格式要求编制投标文件，没有格式要求的，由投标人自行编写。</w:t>
      </w:r>
    </w:p>
    <w:p w14:paraId="092E7A0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二、网上递交的投标文件需要对投标文件进行CA锁加密，未按要求进行加密和加写标记的投标文件，采购人不予受理。</w:t>
      </w:r>
    </w:p>
    <w:p w14:paraId="6547A5B0">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2.4.7.投标文件的提交</w:t>
      </w:r>
      <w:r>
        <w:rPr>
          <w:rFonts w:hint="default" w:ascii="Times New Roman" w:hAnsi="Times New Roman" w:eastAsia="仿宋_GB2312" w:cs="Times New Roman"/>
          <w:b/>
          <w:sz w:val="32"/>
          <w:szCs w:val="32"/>
        </w:rPr>
        <w:t>*</w:t>
      </w:r>
    </w:p>
    <w:p w14:paraId="2B88180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一、投标截止时间前，投标人通过交易系统完成投标文件提交，成功提交投标文件的，将收到成功提交投标文件的回执单。成功提交投标文件的投标人信息在投标截止时间前，将加密保存。</w:t>
      </w:r>
    </w:p>
    <w:p w14:paraId="3DF43B53">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未按招标文件和采购平台操作规范编制、确认、加密、盖章和提交的投标文件，将被拒绝接收。</w:t>
      </w:r>
    </w:p>
    <w:p w14:paraId="2951F13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二、投标截止时间后，采购人或者代理机构不再接受投标人提交投标文件。投标人应充分考虑影响投标文件提交的各种因素，确保在投标截止时间前完成提交。</w:t>
      </w:r>
    </w:p>
    <w:p w14:paraId="796BD947">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三、除投标人外，其他任何单位和个人不得解密投标文件或者调整修改已提交投标文件的内容及提交状态。</w:t>
      </w:r>
    </w:p>
    <w:p w14:paraId="0CA1E6AF">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2.4.8.投标文件的补充、修改、撤回</w:t>
      </w:r>
      <w:r>
        <w:rPr>
          <w:rFonts w:hint="default" w:ascii="Times New Roman" w:hAnsi="Times New Roman" w:eastAsia="仿宋_GB2312" w:cs="Times New Roman"/>
          <w:b/>
          <w:sz w:val="32"/>
          <w:szCs w:val="32"/>
        </w:rPr>
        <w:t>*</w:t>
      </w:r>
    </w:p>
    <w:p w14:paraId="6A4652A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投标截止时间前，投标人可以补充、修改或者撤回已成功提交的投标文件；对投标文件进行补充、修改的，应当先行撤回已提交的投标文件，补充、修改后重新提交。</w:t>
      </w:r>
    </w:p>
    <w:p w14:paraId="311A5989">
      <w:pPr>
        <w:pStyle w:val="23"/>
        <w:ind w:firstLine="48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投标人投标文件撤回后，视为</w:t>
      </w:r>
      <w:r>
        <w:rPr>
          <w:rFonts w:hint="default" w:ascii="Times New Roman" w:hAnsi="Times New Roman" w:eastAsia="仿宋_GB2312" w:cs="Times New Roman"/>
          <w:sz w:val="28"/>
          <w:szCs w:val="28"/>
          <w:lang w:val="en-US" w:eastAsia="zh-CN"/>
        </w:rPr>
        <w:t>已</w:t>
      </w:r>
      <w:r>
        <w:rPr>
          <w:rFonts w:hint="default" w:ascii="Times New Roman" w:hAnsi="Times New Roman" w:eastAsia="仿宋_GB2312" w:cs="Times New Roman"/>
          <w:sz w:val="28"/>
          <w:szCs w:val="28"/>
        </w:rPr>
        <w:t>提交过投标文件。</w:t>
      </w:r>
    </w:p>
    <w:p w14:paraId="0DAB2339">
      <w:pPr>
        <w:pStyle w:val="23"/>
        <w:jc w:val="left"/>
        <w:outlineLvl w:val="2"/>
        <w:rPr>
          <w:rFonts w:hint="default" w:ascii="Times New Roman" w:hAnsi="Times New Roman" w:cs="Times New Roman"/>
          <w:sz w:val="28"/>
          <w:szCs w:val="28"/>
        </w:rPr>
      </w:pPr>
      <w:r>
        <w:rPr>
          <w:rFonts w:hint="default" w:ascii="Times New Roman" w:hAnsi="Times New Roman" w:eastAsia="仿宋_GB2312" w:cs="Times New Roman"/>
          <w:b/>
          <w:sz w:val="28"/>
          <w:szCs w:val="28"/>
        </w:rPr>
        <w:t>2.5.开标、资格审查、评标和中标</w:t>
      </w:r>
    </w:p>
    <w:p w14:paraId="5AF6CD5C">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2.5.1.开标</w:t>
      </w:r>
    </w:p>
    <w:p w14:paraId="1AA501AA">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2.5.1.1.开标程序</w:t>
      </w:r>
    </w:p>
    <w:p w14:paraId="77E9B6B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投标截止时间后，通过交易系统</w:t>
      </w:r>
      <w:r>
        <w:rPr>
          <w:rFonts w:hint="default" w:ascii="Times New Roman" w:hAnsi="Times New Roman" w:eastAsia="仿宋_GB2312" w:cs="Times New Roman"/>
          <w:sz w:val="28"/>
          <w:szCs w:val="28"/>
          <w:lang w:val="en-US" w:eastAsia="zh-CN"/>
        </w:rPr>
        <w:t>远程</w:t>
      </w:r>
      <w:r>
        <w:rPr>
          <w:rFonts w:hint="default" w:ascii="Times New Roman" w:hAnsi="Times New Roman" w:eastAsia="仿宋_GB2312" w:cs="Times New Roman"/>
          <w:sz w:val="28"/>
          <w:szCs w:val="28"/>
        </w:rPr>
        <w:t>开标，在线解密投标文件。</w:t>
      </w:r>
    </w:p>
    <w:p w14:paraId="15B327E8">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2.5.1.2.解密投标文件</w:t>
      </w:r>
      <w:r>
        <w:rPr>
          <w:rFonts w:hint="default" w:ascii="Times New Roman" w:hAnsi="Times New Roman" w:eastAsia="仿宋_GB2312" w:cs="Times New Roman"/>
          <w:b/>
          <w:sz w:val="32"/>
          <w:szCs w:val="32"/>
        </w:rPr>
        <w:t>*</w:t>
      </w:r>
    </w:p>
    <w:p w14:paraId="56AAE49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截止时间后，成功提交投标文件的投标人符合招标文件规定数量的，代理机构将启动投标文件解密程序，解密时间为30分钟；投标人应在规定的解密时间内，使用加密投标文件的数字证书进行投标文件解密。除因平台系统故障导致投标人未按时完成解密外，投标人未在规定的解密时间内完成解密的，按无效投标处理。</w:t>
      </w:r>
    </w:p>
    <w:p w14:paraId="5E27B255">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2.5.1.3.有关要求</w:t>
      </w:r>
    </w:p>
    <w:p w14:paraId="3B02309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投标文件解密时间截止或者所有投标人投标文件均完成解密后（以发生在先的时间为准），代理机构通过交易系统对投标人名称、投标文件解密情况、投标报价进行展示。</w:t>
      </w:r>
    </w:p>
    <w:p w14:paraId="1ABD7F13">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开标过程中，投标人对开标过程有疑义，可向代理机构提出询问，代理机构应当及时予以答复。</w:t>
      </w:r>
    </w:p>
    <w:p w14:paraId="500D37E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投标人完成投标文件解密后，自主决定是否参加在线开标，未参加的，视同认可开标结果。</w:t>
      </w:r>
    </w:p>
    <w:p w14:paraId="2DA1086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成功提交或者成功解密电子投标文件的投标人不足3家的，采购人或者代理机构将作废标处理。</w:t>
      </w:r>
    </w:p>
    <w:p w14:paraId="25399690">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2.5.2.查询及使用信用记录</w:t>
      </w:r>
    </w:p>
    <w:p w14:paraId="321A0EE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开标结束后，采购人或者代理机构根据《关于在政府采购活动中查询及使用信用记录有关问题的通知》（财库〔2016〕125号）的要求，通过“信用中国”网站（www.creditchina.gov.cn）、“中国政府采购网”网站（www.ccgp.gov.cn）、“中国执行信息公开网”网站（http://zxgk.court.gov.cn/shixin/）等渠道，查询投标人在投标截止时间前的信用记录并保存信用记录结果网页截图，拒绝列入失信被执行人名单、重大税收违法案件当事人名单（重大税收违法失信主体）、政府采购严重违法失信行为记录名单、严重违法失信企业名单中的投标人参加本项目的采购活动。</w:t>
      </w:r>
    </w:p>
    <w:p w14:paraId="4986E60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组成联合体参加政府采购活动的，将对所有联合体成员进行信用记录查询，联合体成员存在不良信用记录的，视同联合体存在不良信用记录。</w:t>
      </w:r>
    </w:p>
    <w:p w14:paraId="7AEB1DF1">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2.5.3.资格审查</w:t>
      </w:r>
    </w:p>
    <w:p w14:paraId="375320C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详见招标文件第四章。</w:t>
      </w:r>
    </w:p>
    <w:p w14:paraId="045714C0">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2.5.4.评标</w:t>
      </w:r>
    </w:p>
    <w:p w14:paraId="16197B0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详见招标文件第五章。</w:t>
      </w:r>
    </w:p>
    <w:p w14:paraId="4920DF8C">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2.5.5.中标通知书</w:t>
      </w:r>
    </w:p>
    <w:p w14:paraId="7B4BB6FE">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一、采购人或者评标委员会确认中标人后，代理机构在</w:t>
      </w:r>
      <w:r>
        <w:rPr>
          <w:rFonts w:hint="default" w:ascii="Times New Roman" w:hAnsi="Times New Roman" w:eastAsia="仿宋_GB2312" w:cs="Times New Roman"/>
          <w:sz w:val="28"/>
          <w:szCs w:val="28"/>
          <w:lang w:eastAsia="zh-CN"/>
        </w:rPr>
        <w:t>云南</w:t>
      </w:r>
      <w:r>
        <w:rPr>
          <w:rFonts w:hint="default" w:ascii="Times New Roman" w:hAnsi="Times New Roman" w:eastAsia="仿宋_GB2312" w:cs="Times New Roman"/>
          <w:sz w:val="28"/>
          <w:szCs w:val="28"/>
        </w:rPr>
        <w:t>政府采购网发布中标结果公告、通过交易系统发出中标通知书，中标人通过交易系统获取中标通知书。</w:t>
      </w:r>
    </w:p>
    <w:p w14:paraId="60289FBE">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二、中标通知书对采购人和中标人均具有法律效力。如果出现政府采购法律法规、规章制度规定的中标无效情形的，将以公告形式宣布发出的中标通知书无效，并依法重新确定中标人或者重新开展采购活动。</w:t>
      </w:r>
    </w:p>
    <w:p w14:paraId="69C7B9F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中标通知书发出后，采购人改变中标结果的，或者中标人放弃中标项目的，应当依法承担法律责任。中标人放弃中标项目视同拒绝签订合同，其中无正当理由拒不与采购人签订政府采购合同的，将根据《中华人民共和国政府采购法》第七十</w:t>
      </w:r>
      <w:r>
        <w:rPr>
          <w:rFonts w:hint="default" w:ascii="Times New Roman" w:hAnsi="Times New Roman" w:eastAsia="仿宋_GB2312" w:cs="Times New Roman"/>
          <w:sz w:val="28"/>
          <w:szCs w:val="28"/>
          <w:lang w:val="en-US" w:eastAsia="zh-CN"/>
        </w:rPr>
        <w:t>六</w:t>
      </w:r>
      <w:r>
        <w:rPr>
          <w:rFonts w:hint="default" w:ascii="Times New Roman" w:hAnsi="Times New Roman" w:eastAsia="仿宋_GB2312" w:cs="Times New Roman"/>
          <w:sz w:val="28"/>
          <w:szCs w:val="28"/>
        </w:rPr>
        <w:t>条第一款，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w:t>
      </w:r>
    </w:p>
    <w:p w14:paraId="23A8E5C3">
      <w:pPr>
        <w:pStyle w:val="23"/>
        <w:jc w:val="left"/>
        <w:outlineLvl w:val="2"/>
        <w:rPr>
          <w:rFonts w:hint="default" w:ascii="Times New Roman" w:hAnsi="Times New Roman" w:cs="Times New Roman"/>
          <w:sz w:val="28"/>
          <w:szCs w:val="28"/>
        </w:rPr>
      </w:pPr>
      <w:r>
        <w:rPr>
          <w:rFonts w:hint="default" w:ascii="Times New Roman" w:hAnsi="Times New Roman" w:eastAsia="仿宋_GB2312" w:cs="Times New Roman"/>
          <w:b/>
          <w:sz w:val="28"/>
          <w:szCs w:val="28"/>
        </w:rPr>
        <w:t>2.6.合同签订、备案、履行及验收</w:t>
      </w:r>
    </w:p>
    <w:p w14:paraId="71019614">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2.6.1.签订合同</w:t>
      </w:r>
    </w:p>
    <w:p w14:paraId="17A33C3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一、采购人应在中标通知书发出之日起30日内与中标人签订书面合同，采购人因不可抗力原因迟延签订合同的，应当自不可抗力事由消除之日起7日内完成合同签订事宜。</w:t>
      </w:r>
    </w:p>
    <w:p w14:paraId="2F932860">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二、采购人和中标人签订的书面合同不得对招标文件确定的事项以及中标人的投标文件作实质性修改，采购人不得向中标人提出任何不合理的要求作为签订合同的条件。</w:t>
      </w:r>
    </w:p>
    <w:p w14:paraId="3470BAE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三、政府采购合同自采购人和中标人在书面合同上签章之日起生效。</w:t>
      </w:r>
    </w:p>
    <w:p w14:paraId="3CDE6D6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四、中标人完全遵守《中华人民共和国劳动合同法》有关规定和《中华人民共和国妇女权益保障法》中关于“劳动和社会保障权益”的有关要求。</w:t>
      </w:r>
    </w:p>
    <w:p w14:paraId="28317B03">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2.6.2.政府采购合同公告、备案</w:t>
      </w:r>
    </w:p>
    <w:p w14:paraId="1D66F06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政府采购合同签订之日起2个工作日内，采购人将政府采购合同在</w:t>
      </w:r>
      <w:r>
        <w:rPr>
          <w:rFonts w:hint="default" w:ascii="Times New Roman" w:hAnsi="Times New Roman" w:eastAsia="仿宋_GB2312" w:cs="Times New Roman"/>
          <w:sz w:val="28"/>
          <w:szCs w:val="28"/>
          <w:lang w:eastAsia="zh-CN"/>
        </w:rPr>
        <w:t>云南</w:t>
      </w:r>
      <w:r>
        <w:rPr>
          <w:rFonts w:hint="default" w:ascii="Times New Roman" w:hAnsi="Times New Roman" w:eastAsia="仿宋_GB2312" w:cs="Times New Roman"/>
          <w:sz w:val="28"/>
          <w:szCs w:val="28"/>
        </w:rPr>
        <w:t>政府采购网予以公告；政府采购合同签订之日起7个工作日内，采购人将政府采购合同报项目同级财政部门备案。</w:t>
      </w:r>
    </w:p>
    <w:p w14:paraId="0106B9B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政府采购合同的双方当事人不得擅自变更合同，依照政府采购法确需变更政府采购合同内容的，采购人应当自合同变更之日起2个工作日内在</w:t>
      </w:r>
      <w:r>
        <w:rPr>
          <w:rFonts w:hint="default" w:ascii="Times New Roman" w:hAnsi="Times New Roman" w:eastAsia="仿宋_GB2312" w:cs="Times New Roman"/>
          <w:sz w:val="28"/>
          <w:szCs w:val="28"/>
          <w:lang w:eastAsia="zh-CN"/>
        </w:rPr>
        <w:t>云南</w:t>
      </w:r>
      <w:r>
        <w:rPr>
          <w:rFonts w:hint="default" w:ascii="Times New Roman" w:hAnsi="Times New Roman" w:eastAsia="仿宋_GB2312" w:cs="Times New Roman"/>
          <w:sz w:val="28"/>
          <w:szCs w:val="28"/>
        </w:rPr>
        <w:t>政府采购网发布政府采购合同变更公告，但涉及国家秘密、商业秘密的信息和其他依法不得公开的信息除外。</w:t>
      </w:r>
    </w:p>
    <w:p w14:paraId="49D77915">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2.6.3.合同分包和转包★</w:t>
      </w:r>
    </w:p>
    <w:p w14:paraId="726A095E">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2.6.3.1.合同分包</w:t>
      </w:r>
    </w:p>
    <w:p w14:paraId="313417A7">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本项目不允许合同分包。</w:t>
      </w:r>
    </w:p>
    <w:p w14:paraId="4E89E377">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2.6.3.2.合同转包</w:t>
      </w:r>
    </w:p>
    <w:p w14:paraId="39FFFC2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一、严禁中标人将本项目合同转包。</w:t>
      </w:r>
    </w:p>
    <w:p w14:paraId="11F749D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二、中标人将合同转包的，将依法追究法律责任。</w:t>
      </w:r>
    </w:p>
    <w:p w14:paraId="33EAE9CC">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2.6.4.采购人增加合同标的的权利</w:t>
      </w:r>
    </w:p>
    <w:p w14:paraId="1A9E7CB0">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14:paraId="206490FD">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2.6.5.履行合同</w:t>
      </w:r>
    </w:p>
    <w:p w14:paraId="735E936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一、采购人与中标人应当根据合同的约定依法履行合同义务。</w:t>
      </w:r>
    </w:p>
    <w:p w14:paraId="44F586A9">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二、政府采购合同的履行、违约责任和解决争议的方法等适用《中华人民共和国民法典》。</w:t>
      </w:r>
    </w:p>
    <w:p w14:paraId="32915567">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2.6.6.履约验收方案</w:t>
      </w:r>
    </w:p>
    <w:p w14:paraId="46BB5E5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一、验收组织方式：</w:t>
      </w:r>
    </w:p>
    <w:p w14:paraId="69276051">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采购包1：自行验收</w:t>
      </w:r>
    </w:p>
    <w:p w14:paraId="0FC1101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二、是否邀请本项目的其他供应商：</w:t>
      </w:r>
    </w:p>
    <w:p w14:paraId="61DA0B1C">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采购包1：否</w:t>
      </w:r>
    </w:p>
    <w:p w14:paraId="2A0D452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三、是否邀请专家：</w:t>
      </w:r>
    </w:p>
    <w:p w14:paraId="5E910C6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采购包1：否</w:t>
      </w:r>
    </w:p>
    <w:p w14:paraId="237661D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四、是否邀请服务对象：</w:t>
      </w:r>
    </w:p>
    <w:p w14:paraId="239F98D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采购包1：否</w:t>
      </w:r>
    </w:p>
    <w:p w14:paraId="54947C9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五、是否邀请第三方检测机构：</w:t>
      </w:r>
    </w:p>
    <w:p w14:paraId="3E41498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采购包1：否</w:t>
      </w:r>
    </w:p>
    <w:p w14:paraId="630C761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六、履约验收程序：</w:t>
      </w:r>
    </w:p>
    <w:p w14:paraId="12E2F4B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采购包1：一次性验收</w:t>
      </w:r>
    </w:p>
    <w:p w14:paraId="079AA727">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七、履约验收时间：</w:t>
      </w:r>
    </w:p>
    <w:p w14:paraId="7CEB8B6E">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w:t>
      </w:r>
    </w:p>
    <w:p w14:paraId="051F0EFD">
      <w:pPr>
        <w:pStyle w:val="23"/>
        <w:ind w:firstLine="1200"/>
        <w:jc w:val="left"/>
        <w:rPr>
          <w:rFonts w:hint="default" w:ascii="Times New Roman" w:hAnsi="Times New Roman" w:cs="Times New Roman"/>
          <w:color w:val="auto"/>
          <w:sz w:val="28"/>
          <w:szCs w:val="28"/>
          <w:highlight w:val="none"/>
        </w:rPr>
      </w:pPr>
      <w:r>
        <w:rPr>
          <w:rFonts w:hint="default" w:ascii="Times New Roman" w:hAnsi="Times New Roman" w:eastAsia="仿宋_GB2312" w:cs="Times New Roman"/>
          <w:sz w:val="28"/>
          <w:szCs w:val="28"/>
        </w:rPr>
        <w:t>1、 验收条件说明</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color w:val="auto"/>
          <w:sz w:val="28"/>
          <w:szCs w:val="28"/>
          <w:highlight w:val="none"/>
        </w:rPr>
        <w:t>投标人提出验收申请之日 ，达到验收条件起</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rPr>
        <w:t>日内，</w:t>
      </w:r>
      <w:r>
        <w:rPr>
          <w:rFonts w:hint="default" w:ascii="Times New Roman" w:hAnsi="Times New Roman" w:eastAsia="仿宋_GB2312" w:cs="Times New Roman"/>
          <w:color w:val="auto"/>
          <w:sz w:val="28"/>
          <w:szCs w:val="28"/>
          <w:highlight w:val="none"/>
          <w:lang w:val="en-US" w:eastAsia="zh-CN"/>
        </w:rPr>
        <w:t>采购人完成组织验收</w:t>
      </w:r>
      <w:r>
        <w:rPr>
          <w:rFonts w:hint="default" w:ascii="Times New Roman" w:hAnsi="Times New Roman" w:eastAsia="仿宋_GB2312" w:cs="Times New Roman"/>
          <w:color w:val="auto"/>
          <w:sz w:val="28"/>
          <w:szCs w:val="28"/>
          <w:highlight w:val="none"/>
        </w:rPr>
        <w:t>；</w:t>
      </w:r>
    </w:p>
    <w:p w14:paraId="3F1EF54E">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八、验收组织的其他事项：</w:t>
      </w:r>
    </w:p>
    <w:p w14:paraId="3B49CEC0">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采购包1：无</w:t>
      </w:r>
    </w:p>
    <w:p w14:paraId="48D5C5C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九、技术履约验收内容：</w:t>
      </w:r>
    </w:p>
    <w:p w14:paraId="5820152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采购包1：根</w:t>
      </w:r>
      <w:r>
        <w:rPr>
          <w:rFonts w:hint="default" w:ascii="Times New Roman" w:hAnsi="Times New Roman" w:eastAsia="仿宋_GB2312" w:cs="Times New Roman"/>
          <w:color w:val="auto"/>
          <w:sz w:val="28"/>
          <w:szCs w:val="28"/>
          <w:highlight w:val="none"/>
          <w:lang w:val="en-US" w:eastAsia="zh-CN"/>
        </w:rPr>
        <w:t>据《财政部关于进一步加强政府采购需求和履约验收管理的指导意见》（财库〔2016〕205 号）的规定</w:t>
      </w:r>
      <w:r>
        <w:rPr>
          <w:rFonts w:hint="default" w:ascii="Times New Roman" w:hAnsi="Times New Roman" w:eastAsia="仿宋_GB2312" w:cs="Times New Roman"/>
          <w:sz w:val="28"/>
          <w:szCs w:val="28"/>
        </w:rPr>
        <w:t>，采购人组织验收人员组成验收小组，中标人予以配合，结合本项目招标文件、投标文件及采购合同的要求进行技术履约验收</w:t>
      </w:r>
    </w:p>
    <w:p w14:paraId="4FBBE1D1">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十、商务履约验收内容：</w:t>
      </w:r>
    </w:p>
    <w:p w14:paraId="01C475EE">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采购包1：根据《财政部关于进一步加强政府采购需求和履约验收管理的指导意见》（财库〔2016〕205 号）的规定，采购人组织验收人员组成验收小组，中标人予以配合，结合本项目招标文件、投标文件及采购合同的要求进行商务履约验收</w:t>
      </w:r>
    </w:p>
    <w:p w14:paraId="2646B4E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十一、履约验收标准：</w:t>
      </w:r>
    </w:p>
    <w:p w14:paraId="61CF25E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采购包1：按国家相关法律、行业标准验收</w:t>
      </w:r>
    </w:p>
    <w:p w14:paraId="594EEE8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十二、履约验收其他事项：</w:t>
      </w:r>
    </w:p>
    <w:p w14:paraId="6AF1BBE6">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采购包1：未尽事宜将按照《财政部关于进一步加强政府采购需求和履约验收管理的指导意见》(财库(2016) 205号)、《政府采购需求管理办法》(财库(2021) 22号)的要求及国家行业主管部门规定的标准、方法和内容进行验收</w:t>
      </w:r>
    </w:p>
    <w:p w14:paraId="166D5552">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2.6.7.资金支付</w:t>
      </w:r>
    </w:p>
    <w:p w14:paraId="498A873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采购人将按照政府采购合同规定，及时向中标人支付采购资金。具体支付约定详见第三章。</w:t>
      </w:r>
    </w:p>
    <w:p w14:paraId="5F1A02B3">
      <w:pPr>
        <w:pStyle w:val="23"/>
        <w:jc w:val="left"/>
        <w:outlineLvl w:val="2"/>
        <w:rPr>
          <w:rFonts w:hint="default" w:ascii="Times New Roman" w:hAnsi="Times New Roman" w:cs="Times New Roman"/>
          <w:sz w:val="28"/>
          <w:szCs w:val="28"/>
        </w:rPr>
      </w:pPr>
      <w:r>
        <w:rPr>
          <w:rFonts w:hint="default" w:ascii="Times New Roman" w:hAnsi="Times New Roman" w:eastAsia="仿宋_GB2312" w:cs="Times New Roman"/>
          <w:b/>
          <w:sz w:val="28"/>
          <w:szCs w:val="28"/>
        </w:rPr>
        <w:t>2.7.纪律要求</w:t>
      </w:r>
    </w:p>
    <w:p w14:paraId="476DD92F">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2.7.1.保密要求</w:t>
      </w:r>
    </w:p>
    <w:p w14:paraId="1AED08C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采购人、代理机构应当采取必要措施，保证评标在严格保密的情况下进行。除采购人代表、评标现场组织人员外，采购人的其他工作人员以及与评标工作无关的人员不得进入评标现场。</w:t>
      </w:r>
    </w:p>
    <w:p w14:paraId="2BE4E26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有关人员对评标情况以及在评标过程中获悉的国家秘密、商业秘密负有保密责任。</w:t>
      </w:r>
    </w:p>
    <w:p w14:paraId="0475AE88">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2.7.2.投标人不得具有的情形</w:t>
      </w:r>
    </w:p>
    <w:p w14:paraId="24A4CE6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投标人参加投标不得有下列情形：</w:t>
      </w:r>
    </w:p>
    <w:p w14:paraId="44F4B3A3">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一、有下列情形之一的，视为投标人串通投标：</w:t>
      </w:r>
    </w:p>
    <w:p w14:paraId="4A99E529">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（一）不同投标人的投标文件由同一单位或者个人编制；</w:t>
      </w:r>
    </w:p>
    <w:p w14:paraId="507C2DF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（二）不同投标人委托同一单位或者个人办理投标事宜；</w:t>
      </w:r>
    </w:p>
    <w:p w14:paraId="73F34B8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（三）不同投标人的投标文件载明的项目管理成员或者联系人员为同一人；</w:t>
      </w:r>
    </w:p>
    <w:p w14:paraId="54816E8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（四）不同投标人的投标文件异常一致或者投标报价呈规律性差异；</w:t>
      </w:r>
    </w:p>
    <w:p w14:paraId="25160BB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（五）不同投标人的投标文件相互混装；</w:t>
      </w:r>
    </w:p>
    <w:p w14:paraId="1579B83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（六）不同投标人的投标保证金从同一单位和账户转出。</w:t>
      </w:r>
    </w:p>
    <w:p w14:paraId="5BDAFC17">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有下列情形之一的，属于恶意串通，对投标人依照《中华人民共和国政府采购法》第七十七条第一款的规定追究法律责任，对采购人、代理机构及其工作人员依照《中华人民共和国政府采购法》第七十二条的规定追究法律责任：</w:t>
      </w:r>
    </w:p>
    <w:p w14:paraId="3DD0C22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（一）投标人直接或者间接从采购人或者代理机构处获得其他投标人的相关情况并修改其投标文件；</w:t>
      </w:r>
    </w:p>
    <w:p w14:paraId="468102A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（二）投标人按照采购人或者代理机构的授意撤换、修改投标文件；</w:t>
      </w:r>
    </w:p>
    <w:p w14:paraId="4596DF6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（三）投标人之间协商报价、技术方案等投标文件的实质性内容；</w:t>
      </w:r>
    </w:p>
    <w:p w14:paraId="05125083">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（四）属于同一集团、协会、商会等组织成员的投标人按照该组织要求协同参加政府采购活动；</w:t>
      </w:r>
    </w:p>
    <w:p w14:paraId="45374AA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（五）投标人之间事先约定由某一特定投标人中标；</w:t>
      </w:r>
    </w:p>
    <w:p w14:paraId="3EB11E5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（六）投标人之间商定部分投标人放弃参加政府采购活动或者放弃中标；</w:t>
      </w:r>
    </w:p>
    <w:p w14:paraId="2D39533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（七）投标人与采购人或者代理机构之间、投标人相互之间，为谋求特定投标人成交或者排斥其他投标人的其他串通行为。</w:t>
      </w:r>
    </w:p>
    <w:p w14:paraId="100BD1F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三、提供虚假材料谋取中标；</w:t>
      </w:r>
    </w:p>
    <w:p w14:paraId="4C9B056D">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四、采取不正当手段诋毁、排挤其他投标人；</w:t>
      </w:r>
    </w:p>
    <w:p w14:paraId="7A35DD62">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五、与采购人或者代理机构、其他投标人恶意串通；</w:t>
      </w:r>
    </w:p>
    <w:p w14:paraId="5A35207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六、向采购人或者代理机构、评标委员会成员行贿或者提供其他不正当利益；</w:t>
      </w:r>
    </w:p>
    <w:p w14:paraId="71D5D2EC">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七、在招标过程中与采购人或者代理机构进行协商谈判；</w:t>
      </w:r>
    </w:p>
    <w:p w14:paraId="14E0087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八、中标后无正当理由拒不与采购人签订政府采购合同；</w:t>
      </w:r>
    </w:p>
    <w:p w14:paraId="254F5ED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九、未按照招标文件确定的事项签订政府采购合同；</w:t>
      </w:r>
    </w:p>
    <w:p w14:paraId="35E61DE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十、将政府采购合同转包或者违规分包；</w:t>
      </w:r>
    </w:p>
    <w:p w14:paraId="38D79A2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十一、提供假冒伪劣产品；</w:t>
      </w:r>
    </w:p>
    <w:p w14:paraId="7102270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十二、擅自变更、中止或者终止政府采购合同；</w:t>
      </w:r>
    </w:p>
    <w:p w14:paraId="57017D0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十三、拒绝有关部门的监督检查或者向监督检查部门提供虚假情况；</w:t>
      </w:r>
    </w:p>
    <w:p w14:paraId="3979513C">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十四、法律法规规定的其他禁止情形。</w:t>
      </w:r>
    </w:p>
    <w:p w14:paraId="538EE41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人有前述第一至七条情形的，认定其投标无效；中标人有前述第二至七条情形之一的，认定中标无效。此外，将按照规定追究投标人法律责任。属于恶意串通的，根据《中华人民共和国政府采购法》第七十七条第一款，对投标人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其中，对涉嫌串通投标罪的，移送公安机关侦查处理，根据《中华人民共和国刑法》第二百二十三条规定，投标人相互串通投标报价，损害采购人或者其他投标人利益，情节严重的，处三年以下有期徒刑或者拘役，并处或者单处罚金。投标人与采购人串通投标，损害国家、集体、公民的合法利益的，依照上述规定处罚。</w:t>
      </w:r>
    </w:p>
    <w:p w14:paraId="1AA540B6">
      <w:pPr>
        <w:pStyle w:val="23"/>
        <w:jc w:val="left"/>
        <w:outlineLvl w:val="3"/>
        <w:rPr>
          <w:rFonts w:hint="default" w:ascii="Times New Roman" w:hAnsi="Times New Roman" w:cs="Times New Roman"/>
          <w:sz w:val="28"/>
          <w:szCs w:val="28"/>
        </w:rPr>
      </w:pPr>
      <w:r>
        <w:rPr>
          <w:rFonts w:hint="default" w:ascii="Times New Roman" w:hAnsi="Times New Roman" w:eastAsia="仿宋_GB2312" w:cs="Times New Roman"/>
          <w:b/>
          <w:sz w:val="28"/>
          <w:szCs w:val="28"/>
        </w:rPr>
        <w:t>2.7.3.采购人员及相关人员回避要求</w:t>
      </w:r>
    </w:p>
    <w:p w14:paraId="320F09B9">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政府采购活动中，采购人员及相关人员与投标人有下列利害关系之一的，应当回避：</w:t>
      </w:r>
    </w:p>
    <w:p w14:paraId="79B3ECD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一、参加采购活动前3年内与投标人存在</w:t>
      </w:r>
      <w:r>
        <w:rPr>
          <w:rFonts w:hint="default" w:ascii="Times New Roman" w:hAnsi="Times New Roman" w:eastAsia="仿宋_GB2312" w:cs="Times New Roman"/>
          <w:sz w:val="28"/>
          <w:szCs w:val="28"/>
          <w:lang w:val="en-US" w:eastAsia="zh-CN"/>
        </w:rPr>
        <w:t>经济</w:t>
      </w:r>
      <w:r>
        <w:rPr>
          <w:rFonts w:hint="default" w:ascii="Times New Roman" w:hAnsi="Times New Roman" w:eastAsia="仿宋_GB2312" w:cs="Times New Roman"/>
          <w:sz w:val="28"/>
          <w:szCs w:val="28"/>
        </w:rPr>
        <w:t>关系；</w:t>
      </w:r>
    </w:p>
    <w:p w14:paraId="7ED56166">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二、参加采购活动前3年内担任投标人的董事、监事；</w:t>
      </w:r>
    </w:p>
    <w:p w14:paraId="46A61AC1">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三、参加采购活动前3年内是投标人的控股股东或者实际控制人；</w:t>
      </w:r>
    </w:p>
    <w:p w14:paraId="75D7B8E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四、与投标人的法定代表人或者负责人有夫妻、直系血亲、三代以内旁系血亲或者近姻亲关系；</w:t>
      </w:r>
    </w:p>
    <w:p w14:paraId="688FE6FC">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五、与投标人有其他可能影响政府采购活动公平、公正进行的关系。</w:t>
      </w:r>
    </w:p>
    <w:p w14:paraId="3DF46EF1">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投标人认为采购人员及相关人员与其他投标人有利害关系的，可以向代理机构书面提出回避申请，并说明理由。代理机构应及时询问被申请回避人员，有利害关系的被申请回避人员应当回避。</w:t>
      </w:r>
    </w:p>
    <w:p w14:paraId="68A66BD2">
      <w:pPr>
        <w:pStyle w:val="23"/>
        <w:jc w:val="left"/>
        <w:outlineLvl w:val="2"/>
        <w:rPr>
          <w:rFonts w:hint="default" w:ascii="Times New Roman" w:hAnsi="Times New Roman" w:cs="Times New Roman"/>
          <w:sz w:val="28"/>
          <w:szCs w:val="28"/>
        </w:rPr>
      </w:pPr>
      <w:r>
        <w:rPr>
          <w:rFonts w:hint="default" w:ascii="Times New Roman" w:hAnsi="Times New Roman" w:eastAsia="仿宋_GB2312" w:cs="Times New Roman"/>
          <w:b/>
          <w:sz w:val="28"/>
          <w:szCs w:val="28"/>
        </w:rPr>
        <w:t>2.8.询问、质疑和投诉</w:t>
      </w:r>
    </w:p>
    <w:p w14:paraId="48DE4373">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一、询问、质疑、投诉的接收和处理严格按照《中华人民共和国政府采购法》《中华人民共和国政府采购法实施条例》《政府采购质疑和投诉</w:t>
      </w:r>
      <w:r>
        <w:rPr>
          <w:rFonts w:hint="default" w:ascii="Times New Roman" w:hAnsi="Times New Roman" w:eastAsia="仿宋_GB2312" w:cs="Times New Roman"/>
          <w:sz w:val="28"/>
          <w:szCs w:val="28"/>
          <w:lang w:val="en-US" w:eastAsia="zh-CN"/>
        </w:rPr>
        <w:t>管理</w:t>
      </w:r>
      <w:r>
        <w:rPr>
          <w:rFonts w:hint="default" w:ascii="Times New Roman" w:hAnsi="Times New Roman" w:eastAsia="仿宋_GB2312" w:cs="Times New Roman"/>
          <w:sz w:val="28"/>
          <w:szCs w:val="28"/>
        </w:rPr>
        <w:t>办法》等规定办理。</w:t>
      </w:r>
    </w:p>
    <w:p w14:paraId="5EAD8D9A">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二、投标人询问、质疑的答复主体：</w:t>
      </w:r>
    </w:p>
    <w:p w14:paraId="2CBB7206">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根据委托代理协议约定，投标人对招标文件中采购需求的询问、质疑由</w:t>
      </w:r>
      <w:r>
        <w:rPr>
          <w:rFonts w:hint="default" w:ascii="Times New Roman" w:hAnsi="Times New Roman" w:eastAsia="仿宋_GB2312" w:cs="Times New Roman"/>
          <w:sz w:val="28"/>
          <w:szCs w:val="28"/>
          <w:lang w:eastAsia="zh-CN"/>
        </w:rPr>
        <w:t>大理州第二人民医院</w:t>
      </w:r>
      <w:r>
        <w:rPr>
          <w:rFonts w:hint="default" w:ascii="Times New Roman" w:hAnsi="Times New Roman" w:eastAsia="仿宋_GB2312" w:cs="Times New Roman"/>
          <w:sz w:val="28"/>
          <w:szCs w:val="28"/>
        </w:rPr>
        <w:t xml:space="preserve">负责答复；投标人对除采购需求外的招标文件的询问、质疑由 </w:t>
      </w:r>
      <w:r>
        <w:rPr>
          <w:rFonts w:hint="default" w:ascii="Times New Roman" w:hAnsi="Times New Roman" w:eastAsia="仿宋_GB2312" w:cs="Times New Roman"/>
          <w:sz w:val="28"/>
          <w:szCs w:val="28"/>
          <w:lang w:eastAsia="zh-CN"/>
        </w:rPr>
        <w:t>某采购代理机构</w:t>
      </w:r>
      <w:r>
        <w:rPr>
          <w:rFonts w:hint="default" w:ascii="Times New Roman" w:hAnsi="Times New Roman" w:eastAsia="仿宋_GB2312" w:cs="Times New Roman"/>
          <w:sz w:val="28"/>
          <w:szCs w:val="28"/>
        </w:rPr>
        <w:t xml:space="preserve">负责答复；投标人对采购过程、采购结果的询问、质疑由 </w:t>
      </w:r>
      <w:r>
        <w:rPr>
          <w:rFonts w:hint="default" w:ascii="Times New Roman" w:hAnsi="Times New Roman" w:eastAsia="仿宋_GB2312" w:cs="Times New Roman"/>
          <w:sz w:val="28"/>
          <w:szCs w:val="28"/>
          <w:lang w:eastAsia="zh-CN"/>
        </w:rPr>
        <w:t>某采购代理机构</w:t>
      </w:r>
      <w:r>
        <w:rPr>
          <w:rFonts w:hint="default" w:ascii="Times New Roman" w:hAnsi="Times New Roman" w:eastAsia="仿宋_GB2312" w:cs="Times New Roman"/>
          <w:sz w:val="28"/>
          <w:szCs w:val="28"/>
        </w:rPr>
        <w:t>负责答复。投标人提出的询问或者质疑超出采购人对代理机构委托授权范围的，代理机构应当告知投标人向采购人提出。采购人、代理机构对答复主体存在争议的，由采购人负责答复。</w:t>
      </w:r>
    </w:p>
    <w:p w14:paraId="3B3CCFD2">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答复主体：采购人</w:t>
      </w:r>
    </w:p>
    <w:p w14:paraId="73C3F267">
      <w:pPr>
        <w:pStyle w:val="23"/>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val="en-US" w:eastAsia="zh-CN"/>
        </w:rPr>
        <w:t>杨</w:t>
      </w:r>
      <w:r>
        <w:rPr>
          <w:rFonts w:hint="default" w:ascii="Times New Roman" w:hAnsi="Times New Roman" w:eastAsia="仿宋_GB2312" w:cs="Times New Roman"/>
          <w:sz w:val="28"/>
          <w:szCs w:val="28"/>
        </w:rPr>
        <w:t>老师</w:t>
      </w:r>
    </w:p>
    <w:p w14:paraId="52ECF741">
      <w:pPr>
        <w:pStyle w:val="23"/>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lang w:val="en-US" w:eastAsia="zh-CN"/>
        </w:rPr>
        <w:t>0872-2125928</w:t>
      </w:r>
    </w:p>
    <w:p w14:paraId="06F64B89">
      <w:pPr>
        <w:pStyle w:val="23"/>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lang w:val="en-US" w:eastAsia="zh-CN"/>
        </w:rPr>
        <w:t>大理市满江街道红山路与太和路交汇处</w:t>
      </w:r>
    </w:p>
    <w:p w14:paraId="003D2097">
      <w:pPr>
        <w:pStyle w:val="23"/>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邮编：6</w:t>
      </w:r>
      <w:r>
        <w:rPr>
          <w:rFonts w:hint="default" w:ascii="Times New Roman" w:hAnsi="Times New Roman" w:eastAsia="仿宋_GB2312" w:cs="Times New Roman"/>
          <w:sz w:val="28"/>
          <w:szCs w:val="28"/>
          <w:lang w:val="en-US" w:eastAsia="zh-CN"/>
        </w:rPr>
        <w:t>71003</w:t>
      </w:r>
    </w:p>
    <w:p w14:paraId="29862859">
      <w:pPr>
        <w:pStyle w:val="23"/>
        <w:jc w:val="left"/>
        <w:rPr>
          <w:rFonts w:hint="default" w:ascii="Times New Roman" w:hAnsi="Times New Roman" w:cs="Times New Roman"/>
          <w:sz w:val="28"/>
          <w:szCs w:val="28"/>
          <w:lang w:val="en-US"/>
        </w:rPr>
      </w:pPr>
      <w:r>
        <w:rPr>
          <w:rFonts w:hint="default" w:ascii="Times New Roman" w:hAnsi="Times New Roman" w:eastAsia="仿宋_GB2312" w:cs="Times New Roman"/>
          <w:sz w:val="28"/>
          <w:szCs w:val="28"/>
        </w:rPr>
        <w:t>答复主体：</w:t>
      </w:r>
      <w:r>
        <w:rPr>
          <w:rFonts w:hint="default" w:ascii="Times New Roman" w:hAnsi="Times New Roman" w:eastAsia="仿宋_GB2312" w:cs="Times New Roman"/>
          <w:sz w:val="28"/>
          <w:szCs w:val="28"/>
          <w:lang w:val="en-US" w:eastAsia="zh-CN"/>
        </w:rPr>
        <w:t>某采购代理机构</w:t>
      </w:r>
    </w:p>
    <w:p w14:paraId="2C7FB459">
      <w:pPr>
        <w:pStyle w:val="23"/>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联系人：</w:t>
      </w:r>
      <w:r>
        <w:rPr>
          <w:rFonts w:hint="default" w:ascii="Times New Roman" w:hAnsi="Times New Roman" w:eastAsia="仿宋_GB2312" w:cs="Times New Roman"/>
          <w:sz w:val="28"/>
          <w:szCs w:val="28"/>
          <w:lang w:val="en-US" w:eastAsia="zh-CN"/>
        </w:rPr>
        <w:t>XX</w:t>
      </w:r>
    </w:p>
    <w:p w14:paraId="1638CFDB">
      <w:pPr>
        <w:pStyle w:val="23"/>
        <w:jc w:val="lef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联系电话：</w:t>
      </w:r>
      <w:r>
        <w:rPr>
          <w:rFonts w:hint="default" w:ascii="Times New Roman" w:hAnsi="Times New Roman" w:eastAsia="仿宋_GB2312" w:cs="Times New Roman"/>
          <w:sz w:val="28"/>
          <w:szCs w:val="28"/>
          <w:lang w:val="en-US" w:eastAsia="zh-CN"/>
        </w:rPr>
        <w:t>XX</w:t>
      </w:r>
    </w:p>
    <w:p w14:paraId="4A790078">
      <w:pPr>
        <w:pStyle w:val="23"/>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lang w:val="en-US" w:eastAsia="zh-CN"/>
        </w:rPr>
        <w:t>XXXX</w:t>
      </w:r>
    </w:p>
    <w:p w14:paraId="0E643CF5">
      <w:pPr>
        <w:pStyle w:val="23"/>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邮编：</w:t>
      </w:r>
      <w:r>
        <w:rPr>
          <w:rFonts w:hint="default" w:ascii="Times New Roman" w:hAnsi="Times New Roman" w:eastAsia="仿宋_GB2312" w:cs="Times New Roman"/>
          <w:sz w:val="28"/>
          <w:szCs w:val="28"/>
          <w:lang w:val="en-US" w:eastAsia="zh-CN"/>
        </w:rPr>
        <w:t>XXXX</w:t>
      </w:r>
    </w:p>
    <w:p w14:paraId="43B03124">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三、投标人提出的询问，应当明确询问事项，如以书面形式提出的，应由投标人签字并加盖公章。</w:t>
      </w:r>
    </w:p>
    <w:p w14:paraId="05A83839">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投标人认为招标文件、采购过程、中标结果使自己的权益受到损害的，可以在知道或者应知其权益受到损害之日起7个工作日内，以书面形式向采购人、代理机构提出质疑。投标人应在法定质疑期内一次性提出针对同一采购程序环节的质疑。投标人应知其权益受到损害之日，是指：</w:t>
      </w:r>
    </w:p>
    <w:p w14:paraId="212C460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（一）对可以质疑的招标文件提出质疑的，为收到招标文件之日或者招标文件公告期限届满之日；</w:t>
      </w:r>
    </w:p>
    <w:p w14:paraId="3FE3D99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（二）对采购过程提出质疑的，为各采购程序环节结束之日；</w:t>
      </w:r>
    </w:p>
    <w:p w14:paraId="7ECCBFEC">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（三）对中标或者成交结果提出质疑的，为中标或者成交结果公告期限届满之日。</w:t>
      </w:r>
    </w:p>
    <w:p w14:paraId="0F34C70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五、投标人通过书面形式线下向采购人或者代理机构提交质疑资料。</w:t>
      </w:r>
    </w:p>
    <w:p w14:paraId="6A018189">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六、投标人提出质疑时应当准备的资料</w:t>
      </w:r>
    </w:p>
    <w:p w14:paraId="15B58497">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（一）质疑函正本1份；（政府采购投标人质疑函范本可在</w:t>
      </w:r>
      <w:r>
        <w:rPr>
          <w:rFonts w:hint="default" w:ascii="Times New Roman" w:hAnsi="Times New Roman" w:eastAsia="仿宋_GB2312" w:cs="Times New Roman"/>
          <w:sz w:val="28"/>
          <w:szCs w:val="28"/>
          <w:lang w:eastAsia="zh-CN"/>
        </w:rPr>
        <w:t>云南</w:t>
      </w:r>
      <w:r>
        <w:rPr>
          <w:rFonts w:hint="default" w:ascii="Times New Roman" w:hAnsi="Times New Roman" w:eastAsia="仿宋_GB2312" w:cs="Times New Roman"/>
          <w:sz w:val="28"/>
          <w:szCs w:val="28"/>
        </w:rPr>
        <w:t>政府采购网下载专区下载）</w:t>
      </w:r>
    </w:p>
    <w:p w14:paraId="6D3E3575">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（二）法定代表人或主要负责人授权委托书1份（委托代理人办理质疑事宜的需提供）；</w:t>
      </w:r>
    </w:p>
    <w:p w14:paraId="2CC47ABF">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（三）法定代表人或主要负责人身份证复印件1份；</w:t>
      </w:r>
    </w:p>
    <w:p w14:paraId="7910D25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（四）委托代理人身份证复印件1份（委托代理人办理质疑事宜的需提供）；</w:t>
      </w:r>
    </w:p>
    <w:p w14:paraId="70A9FD1C">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（五）针对质疑事项必要的证明材料（针对招标文件提出的质疑，需提交从交易系统获取的招标文件回执单）。</w:t>
      </w:r>
    </w:p>
    <w:p w14:paraId="4E7B3668">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注：根据《中华人民共和国政府采购法》的规定，投标人质疑不得超出招标文件、采购过程、采购结果的范围。</w:t>
      </w:r>
    </w:p>
    <w:p w14:paraId="202C4F7B">
      <w:pPr>
        <w:pStyle w:val="23"/>
        <w:ind w:firstLine="480"/>
        <w:jc w:val="left"/>
        <w:rPr>
          <w:rFonts w:hint="default" w:ascii="Times New Roman" w:hAnsi="Times New Roman" w:cs="Times New Roman"/>
          <w:sz w:val="28"/>
          <w:szCs w:val="28"/>
        </w:rPr>
      </w:pPr>
      <w:r>
        <w:rPr>
          <w:rFonts w:hint="default" w:ascii="Times New Roman" w:hAnsi="Times New Roman" w:eastAsia="仿宋_GB2312" w:cs="Times New Roman"/>
          <w:sz w:val="28"/>
          <w:szCs w:val="28"/>
        </w:rPr>
        <w:t>七、投标人对采购人或者代理机构的质疑答复不满意、采购人或者代理机构未在规定期限内作出答复的，投标人可以在答复期满后15个工作日内向同级财政部门提起投诉。（政府采购供应商投诉书范本可在</w:t>
      </w:r>
      <w:r>
        <w:rPr>
          <w:rFonts w:hint="default" w:ascii="Times New Roman" w:hAnsi="Times New Roman" w:eastAsia="仿宋_GB2312" w:cs="Times New Roman"/>
          <w:sz w:val="28"/>
          <w:szCs w:val="28"/>
          <w:lang w:eastAsia="zh-CN"/>
        </w:rPr>
        <w:t>云南</w:t>
      </w:r>
      <w:r>
        <w:rPr>
          <w:rFonts w:hint="default" w:ascii="Times New Roman" w:hAnsi="Times New Roman" w:eastAsia="仿宋_GB2312" w:cs="Times New Roman"/>
          <w:sz w:val="28"/>
          <w:szCs w:val="28"/>
        </w:rPr>
        <w:t>政府采购网下载专区下载）</w:t>
      </w:r>
    </w:p>
    <w:p w14:paraId="032EBC61">
      <w:pPr>
        <w:spacing w:line="400" w:lineRule="atLeast"/>
        <w:ind w:firstLine="560" w:firstLineChars="200"/>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八、投诉</w:t>
      </w:r>
    </w:p>
    <w:p w14:paraId="0BE8D462">
      <w:pPr>
        <w:spacing w:line="400" w:lineRule="atLeast"/>
        <w:ind w:firstLine="560" w:firstLineChars="200"/>
        <w:outlineLvl w:val="9"/>
        <w:rPr>
          <w:rFonts w:hint="default" w:ascii="Times New Roman" w:hAnsi="Times New Roman" w:eastAsia="仿宋_GB2312" w:cs="Times New Roman"/>
          <w:kern w:val="0"/>
          <w:sz w:val="28"/>
          <w:szCs w:val="28"/>
          <w:lang w:val="en-US" w:eastAsia="zh-Hans"/>
        </w:rPr>
      </w:pPr>
      <w:r>
        <w:rPr>
          <w:rFonts w:hint="default" w:ascii="Times New Roman" w:hAnsi="Times New Roman" w:eastAsia="仿宋_GB2312" w:cs="Times New Roman"/>
          <w:kern w:val="0"/>
          <w:sz w:val="28"/>
          <w:szCs w:val="28"/>
          <w:lang w:val="en-US" w:eastAsia="zh-CN"/>
        </w:rPr>
        <w:t>1.</w:t>
      </w:r>
      <w:r>
        <w:rPr>
          <w:rFonts w:hint="default" w:ascii="Times New Roman" w:hAnsi="Times New Roman" w:eastAsia="仿宋_GB2312" w:cs="Times New Roman"/>
          <w:kern w:val="0"/>
          <w:sz w:val="28"/>
          <w:szCs w:val="28"/>
          <w:lang w:val="en-US" w:eastAsia="zh-Hans"/>
        </w:rPr>
        <w:t>投诉必须先经过质疑程序。质疑供应商对采购人的答复不满意，或者采购人未在规定的时间内做出答复的，可以在答复期满后</w:t>
      </w:r>
      <w:r>
        <w:rPr>
          <w:rFonts w:hint="default" w:ascii="Times New Roman" w:hAnsi="Times New Roman" w:eastAsia="仿宋_GB2312" w:cs="Times New Roman"/>
          <w:kern w:val="0"/>
          <w:sz w:val="28"/>
          <w:szCs w:val="28"/>
          <w:lang w:val="en-US" w:eastAsia="zh-CN"/>
        </w:rPr>
        <w:t>七</w:t>
      </w:r>
      <w:r>
        <w:rPr>
          <w:rFonts w:hint="default" w:ascii="Times New Roman" w:hAnsi="Times New Roman" w:eastAsia="仿宋_GB2312" w:cs="Times New Roman"/>
          <w:kern w:val="0"/>
          <w:sz w:val="28"/>
          <w:szCs w:val="28"/>
          <w:lang w:val="en-US" w:eastAsia="zh-Hans"/>
        </w:rPr>
        <w:t>个工作日内书面向同级政府采购监督管理部门投诉</w:t>
      </w:r>
      <w:r>
        <w:rPr>
          <w:rFonts w:hint="default" w:ascii="Times New Roman" w:hAnsi="Times New Roman" w:eastAsia="仿宋_GB2312" w:cs="Times New Roman"/>
          <w:kern w:val="0"/>
          <w:sz w:val="28"/>
          <w:szCs w:val="28"/>
          <w:lang w:val="en-US" w:eastAsia="zh-CN"/>
        </w:rPr>
        <w:t>，</w:t>
      </w:r>
      <w:r>
        <w:rPr>
          <w:rFonts w:hint="default" w:ascii="Times New Roman" w:hAnsi="Times New Roman" w:eastAsia="仿宋_GB2312" w:cs="Times New Roman"/>
          <w:kern w:val="0"/>
          <w:sz w:val="28"/>
          <w:szCs w:val="28"/>
          <w:lang w:val="en-US" w:eastAsia="zh-Hans"/>
        </w:rPr>
        <w:t>根据相关文件规定，投诉内容不得超过质疑内容范围。</w:t>
      </w:r>
    </w:p>
    <w:p w14:paraId="4FD949CC">
      <w:pPr>
        <w:ind w:firstLine="420" w:firstLineChars="0"/>
        <w:jc w:val="both"/>
        <w:outlineLvl w:val="9"/>
        <w:rPr>
          <w:rFonts w:hint="default" w:ascii="Times New Roman" w:hAnsi="Times New Roman" w:cs="Times New Roman"/>
          <w:sz w:val="28"/>
          <w:szCs w:val="28"/>
        </w:rPr>
      </w:pPr>
      <w:bookmarkStart w:id="13" w:name="_Toc1602"/>
      <w:bookmarkStart w:id="14" w:name="_Toc14026"/>
      <w:bookmarkStart w:id="15" w:name="_Toc1312"/>
      <w:bookmarkStart w:id="16" w:name="_Toc11262"/>
      <w:bookmarkStart w:id="17" w:name="_Toc28949"/>
      <w:bookmarkStart w:id="18" w:name="_Toc27798"/>
      <w:bookmarkStart w:id="19" w:name="_Toc5301"/>
      <w:bookmarkStart w:id="20" w:name="_Toc6907"/>
      <w:r>
        <w:rPr>
          <w:rFonts w:hint="default" w:ascii="Times New Roman" w:hAnsi="Times New Roman" w:eastAsia="仿宋_GB2312" w:cs="Times New Roman"/>
          <w:kern w:val="0"/>
          <w:sz w:val="28"/>
          <w:szCs w:val="28"/>
          <w:lang w:val="en-US" w:eastAsia="zh-CN"/>
        </w:rPr>
        <w:t>2.投诉受理部门：大理州财政局政府采购</w:t>
      </w:r>
      <w:r>
        <w:rPr>
          <w:rFonts w:hint="eastAsia" w:ascii="Times New Roman" w:hAnsi="Times New Roman" w:eastAsia="仿宋_GB2312" w:cs="Times New Roman"/>
          <w:kern w:val="0"/>
          <w:sz w:val="28"/>
          <w:szCs w:val="28"/>
          <w:lang w:val="en-US" w:eastAsia="zh-CN"/>
        </w:rPr>
        <w:t>投诉办</w:t>
      </w:r>
      <w:r>
        <w:rPr>
          <w:rFonts w:hint="default" w:ascii="Times New Roman" w:hAnsi="Times New Roman" w:eastAsia="仿宋_GB2312" w:cs="Times New Roman"/>
          <w:kern w:val="0"/>
          <w:sz w:val="28"/>
          <w:szCs w:val="28"/>
          <w:lang w:val="en-US" w:eastAsia="zh-CN"/>
        </w:rPr>
        <w:t>；联系电话：0872-2316273/2316224;地址：大理州龙山行政办公区。</w:t>
      </w:r>
      <w:bookmarkEnd w:id="13"/>
      <w:bookmarkEnd w:id="14"/>
      <w:bookmarkEnd w:id="15"/>
      <w:bookmarkEnd w:id="16"/>
      <w:bookmarkEnd w:id="17"/>
      <w:bookmarkEnd w:id="18"/>
      <w:bookmarkEnd w:id="19"/>
      <w:bookmarkEnd w:id="20"/>
    </w:p>
    <w:p w14:paraId="229DE710">
      <w:pPr>
        <w:pStyle w:val="2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br w:type="textWrapping"/>
      </w:r>
    </w:p>
    <w:p w14:paraId="5569FAFB">
      <w:pPr>
        <w:pStyle w:val="23"/>
        <w:rPr>
          <w:rFonts w:hint="default" w:ascii="Times New Roman" w:hAnsi="Times New Roman" w:eastAsia="仿宋_GB2312" w:cs="Times New Roman"/>
          <w:sz w:val="28"/>
          <w:szCs w:val="28"/>
        </w:rPr>
      </w:pPr>
    </w:p>
    <w:p w14:paraId="4843C5C7">
      <w:pPr>
        <w:pStyle w:val="23"/>
        <w:rPr>
          <w:rFonts w:hint="default" w:ascii="Times New Roman" w:hAnsi="Times New Roman" w:eastAsia="仿宋_GB2312" w:cs="Times New Roman"/>
          <w:sz w:val="28"/>
          <w:szCs w:val="28"/>
        </w:rPr>
      </w:pPr>
    </w:p>
    <w:p w14:paraId="3D21685B">
      <w:pPr>
        <w:pStyle w:val="23"/>
        <w:rPr>
          <w:rFonts w:hint="default" w:ascii="Times New Roman" w:hAnsi="Times New Roman" w:eastAsia="仿宋_GB2312" w:cs="Times New Roman"/>
          <w:sz w:val="28"/>
          <w:szCs w:val="28"/>
        </w:rPr>
      </w:pPr>
    </w:p>
    <w:p w14:paraId="1F123E7F">
      <w:pPr>
        <w:pStyle w:val="23"/>
        <w:rPr>
          <w:rFonts w:hint="default" w:ascii="Times New Roman" w:hAnsi="Times New Roman" w:eastAsia="仿宋_GB2312" w:cs="Times New Roman"/>
          <w:sz w:val="28"/>
          <w:szCs w:val="28"/>
        </w:rPr>
      </w:pPr>
    </w:p>
    <w:p w14:paraId="2B725FF2">
      <w:pPr>
        <w:pStyle w:val="23"/>
        <w:rPr>
          <w:rFonts w:hint="default" w:ascii="Times New Roman" w:hAnsi="Times New Roman" w:eastAsia="仿宋_GB2312" w:cs="Times New Roman"/>
          <w:sz w:val="28"/>
          <w:szCs w:val="28"/>
        </w:rPr>
      </w:pPr>
    </w:p>
    <w:p w14:paraId="736A8969">
      <w:pPr>
        <w:pStyle w:val="23"/>
        <w:rPr>
          <w:rFonts w:hint="default" w:ascii="Times New Roman" w:hAnsi="Times New Roman" w:eastAsia="仿宋_GB2312" w:cs="Times New Roman"/>
          <w:sz w:val="28"/>
          <w:szCs w:val="28"/>
        </w:rPr>
      </w:pPr>
    </w:p>
    <w:p w14:paraId="3034DB8B">
      <w:pPr>
        <w:pStyle w:val="23"/>
        <w:rPr>
          <w:rFonts w:hint="default" w:ascii="Times New Roman" w:hAnsi="Times New Roman" w:eastAsia="仿宋_GB2312" w:cs="Times New Roman"/>
          <w:sz w:val="28"/>
          <w:szCs w:val="28"/>
        </w:rPr>
      </w:pPr>
    </w:p>
    <w:p w14:paraId="403A11F8">
      <w:pPr>
        <w:pStyle w:val="23"/>
        <w:rPr>
          <w:rFonts w:hint="default" w:ascii="Times New Roman" w:hAnsi="Times New Roman" w:eastAsia="仿宋_GB2312" w:cs="Times New Roman"/>
          <w:sz w:val="28"/>
          <w:szCs w:val="28"/>
        </w:rPr>
      </w:pPr>
    </w:p>
    <w:p w14:paraId="773D6720">
      <w:pPr>
        <w:pStyle w:val="23"/>
        <w:rPr>
          <w:rFonts w:hint="default" w:ascii="Times New Roman" w:hAnsi="Times New Roman" w:eastAsia="仿宋_GB2312" w:cs="Times New Roman"/>
          <w:sz w:val="28"/>
          <w:szCs w:val="28"/>
        </w:rPr>
      </w:pPr>
    </w:p>
    <w:p w14:paraId="64D98148">
      <w:pPr>
        <w:pStyle w:val="23"/>
        <w:rPr>
          <w:rFonts w:hint="default" w:ascii="Times New Roman" w:hAnsi="Times New Roman" w:eastAsia="仿宋_GB2312" w:cs="Times New Roman"/>
          <w:sz w:val="28"/>
          <w:szCs w:val="28"/>
        </w:rPr>
      </w:pPr>
    </w:p>
    <w:p w14:paraId="29F6ED22">
      <w:pPr>
        <w:pStyle w:val="23"/>
        <w:rPr>
          <w:rFonts w:hint="default" w:ascii="Times New Roman" w:hAnsi="Times New Roman" w:eastAsia="仿宋_GB2312" w:cs="Times New Roman"/>
          <w:sz w:val="28"/>
          <w:szCs w:val="28"/>
        </w:rPr>
      </w:pPr>
    </w:p>
    <w:p w14:paraId="378A3EB2">
      <w:pPr>
        <w:pStyle w:val="23"/>
        <w:rPr>
          <w:rFonts w:hint="default" w:ascii="Times New Roman" w:hAnsi="Times New Roman" w:eastAsia="仿宋_GB2312" w:cs="Times New Roman"/>
          <w:sz w:val="28"/>
          <w:szCs w:val="28"/>
        </w:rPr>
      </w:pPr>
    </w:p>
    <w:p w14:paraId="281C14AD">
      <w:pPr>
        <w:pStyle w:val="23"/>
        <w:rPr>
          <w:rFonts w:hint="default" w:ascii="Times New Roman" w:hAnsi="Times New Roman" w:eastAsia="仿宋_GB2312" w:cs="Times New Roman"/>
          <w:sz w:val="28"/>
          <w:szCs w:val="28"/>
        </w:rPr>
      </w:pPr>
    </w:p>
    <w:p w14:paraId="619937BB">
      <w:pPr>
        <w:pStyle w:val="23"/>
        <w:rPr>
          <w:rFonts w:hint="default" w:ascii="Times New Roman" w:hAnsi="Times New Roman" w:eastAsia="仿宋_GB2312" w:cs="Times New Roman"/>
          <w:sz w:val="28"/>
          <w:szCs w:val="28"/>
        </w:rPr>
      </w:pPr>
    </w:p>
    <w:p w14:paraId="4ABC3F7E">
      <w:pPr>
        <w:pStyle w:val="23"/>
        <w:rPr>
          <w:rFonts w:hint="default" w:ascii="Times New Roman" w:hAnsi="Times New Roman" w:eastAsia="仿宋_GB2312" w:cs="Times New Roman"/>
          <w:sz w:val="28"/>
          <w:szCs w:val="28"/>
        </w:rPr>
      </w:pPr>
    </w:p>
    <w:p w14:paraId="1E3329B4">
      <w:pPr>
        <w:pStyle w:val="23"/>
        <w:rPr>
          <w:rFonts w:hint="default" w:ascii="Times New Roman" w:hAnsi="Times New Roman" w:eastAsia="仿宋_GB2312" w:cs="Times New Roman"/>
          <w:sz w:val="28"/>
          <w:szCs w:val="28"/>
        </w:rPr>
      </w:pPr>
    </w:p>
    <w:p w14:paraId="51CE2C3E">
      <w:pPr>
        <w:pStyle w:val="23"/>
        <w:rPr>
          <w:rFonts w:hint="default" w:ascii="Times New Roman" w:hAnsi="Times New Roman" w:eastAsia="仿宋_GB2312" w:cs="Times New Roman"/>
          <w:sz w:val="28"/>
          <w:szCs w:val="28"/>
        </w:rPr>
      </w:pPr>
    </w:p>
    <w:p w14:paraId="43C58D5E">
      <w:pPr>
        <w:pStyle w:val="23"/>
        <w:rPr>
          <w:rFonts w:hint="default" w:ascii="Times New Roman" w:hAnsi="Times New Roman" w:eastAsia="仿宋_GB2312" w:cs="Times New Roman"/>
          <w:sz w:val="28"/>
          <w:szCs w:val="28"/>
        </w:rPr>
      </w:pPr>
    </w:p>
    <w:p w14:paraId="50A9C21C">
      <w:pPr>
        <w:pStyle w:val="23"/>
        <w:rPr>
          <w:rFonts w:hint="default" w:ascii="Times New Roman" w:hAnsi="Times New Roman" w:eastAsia="仿宋_GB2312" w:cs="Times New Roman"/>
          <w:sz w:val="28"/>
          <w:szCs w:val="28"/>
        </w:rPr>
      </w:pPr>
    </w:p>
    <w:p w14:paraId="009CBF9F">
      <w:pPr>
        <w:pStyle w:val="23"/>
        <w:jc w:val="both"/>
        <w:outlineLvl w:val="1"/>
        <w:rPr>
          <w:sz w:val="28"/>
          <w:szCs w:val="28"/>
        </w:rPr>
      </w:pPr>
    </w:p>
    <w:p w14:paraId="34EEDE0E">
      <w:pPr>
        <w:pStyle w:val="24"/>
        <w:spacing w:line="360" w:lineRule="auto"/>
        <w:ind w:left="1349" w:firstLine="1767" w:firstLineChars="4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 xml:space="preserve">第三章 </w:t>
      </w:r>
      <w:r>
        <w:rPr>
          <w:rFonts w:hint="eastAsia" w:ascii="宋体" w:hAnsi="宋体" w:eastAsia="宋体" w:cs="宋体"/>
          <w:color w:val="auto"/>
          <w:highlight w:val="none"/>
          <w:lang w:val="en-US" w:eastAsia="zh-CN"/>
        </w:rPr>
        <w:t>资格审查</w:t>
      </w:r>
    </w:p>
    <w:p w14:paraId="3377AEBE">
      <w:pPr>
        <w:pStyle w:val="9"/>
        <w:tabs>
          <w:tab w:val="left" w:pos="2472"/>
        </w:tabs>
        <w:ind w:firstLine="560" w:firstLineChars="200"/>
        <w:rPr>
          <w:rFonts w:hint="eastAsia" w:ascii="Times New Roman" w:hAnsi="Times New Roman" w:eastAsia="仿宋_GB2312" w:cs="Times New Roman"/>
          <w:sz w:val="28"/>
          <w:szCs w:val="28"/>
          <w:lang w:val="en-US" w:eastAsia="zh-Hans"/>
        </w:rPr>
      </w:pPr>
      <w:bookmarkStart w:id="21" w:name="_bookmark82"/>
      <w:bookmarkEnd w:id="21"/>
      <w:r>
        <w:rPr>
          <w:rFonts w:hint="eastAsia" w:ascii="Times New Roman" w:hAnsi="Times New Roman" w:eastAsia="仿宋_GB2312" w:cs="Times New Roman"/>
          <w:sz w:val="28"/>
          <w:szCs w:val="28"/>
          <w:lang w:val="en-US" w:eastAsia="zh-Hans"/>
        </w:rPr>
        <w:t>根据《中华人民共和国财政部令第87号—政府采购货物和服务招标投标管理办法》第四十四条</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Hans"/>
        </w:rPr>
        <w:t>“公开招标采购项目开标结束后，采购人或者采购代理机构应当依法对</w:t>
      </w:r>
      <w:r>
        <w:rPr>
          <w:rFonts w:hint="eastAsia" w:ascii="Times New Roman" w:hAnsi="Times New Roman" w:eastAsia="仿宋_GB2312" w:cs="Times New Roman"/>
          <w:sz w:val="28"/>
          <w:szCs w:val="28"/>
          <w:lang w:val="en-US" w:eastAsia="zh-CN"/>
        </w:rPr>
        <w:t>投标人</w:t>
      </w:r>
      <w:r>
        <w:rPr>
          <w:rFonts w:hint="eastAsia" w:ascii="Times New Roman" w:hAnsi="Times New Roman" w:eastAsia="仿宋_GB2312" w:cs="Times New Roman"/>
          <w:sz w:val="28"/>
          <w:szCs w:val="28"/>
          <w:lang w:val="en-US" w:eastAsia="zh-Hans"/>
        </w:rPr>
        <w:t>的资格进行审查。合格</w:t>
      </w:r>
      <w:r>
        <w:rPr>
          <w:rFonts w:hint="eastAsia" w:ascii="Times New Roman" w:hAnsi="Times New Roman" w:eastAsia="仿宋_GB2312" w:cs="Times New Roman"/>
          <w:sz w:val="28"/>
          <w:szCs w:val="28"/>
          <w:lang w:val="en-US" w:eastAsia="zh-CN"/>
        </w:rPr>
        <w:t>投标人</w:t>
      </w:r>
      <w:r>
        <w:rPr>
          <w:rFonts w:hint="eastAsia" w:ascii="Times New Roman" w:hAnsi="Times New Roman" w:eastAsia="仿宋_GB2312" w:cs="Times New Roman"/>
          <w:sz w:val="28"/>
          <w:szCs w:val="28"/>
          <w:lang w:val="en-US" w:eastAsia="zh-Hans"/>
        </w:rPr>
        <w:t>不足3家的，不得</w:t>
      </w:r>
      <w:r>
        <w:rPr>
          <w:rFonts w:hint="eastAsia" w:ascii="Times New Roman" w:hAnsi="Times New Roman" w:eastAsia="仿宋_GB2312" w:cs="Times New Roman"/>
          <w:sz w:val="28"/>
          <w:szCs w:val="28"/>
          <w:lang w:val="en-US" w:eastAsia="zh-CN"/>
        </w:rPr>
        <w:t>开</w:t>
      </w:r>
      <w:r>
        <w:rPr>
          <w:rFonts w:hint="eastAsia" w:ascii="Times New Roman" w:hAnsi="Times New Roman" w:eastAsia="仿宋_GB2312" w:cs="Times New Roman"/>
          <w:sz w:val="28"/>
          <w:szCs w:val="28"/>
          <w:lang w:val="en-US" w:eastAsia="zh-Hans"/>
        </w:rPr>
        <w:t xml:space="preserve">标。” </w:t>
      </w:r>
    </w:p>
    <w:tbl>
      <w:tblPr>
        <w:tblStyle w:val="16"/>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682"/>
        <w:gridCol w:w="8784"/>
      </w:tblGrid>
      <w:tr w14:paraId="4960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blHeader/>
          <w:jc w:val="center"/>
        </w:trPr>
        <w:tc>
          <w:tcPr>
            <w:tcW w:w="873" w:type="dxa"/>
            <w:noWrap/>
            <w:vAlign w:val="center"/>
          </w:tcPr>
          <w:p w14:paraId="30BB0B01">
            <w:pPr>
              <w:spacing w:before="100" w:beforeAutospacing="1" w:after="100" w:afterAutospacing="1"/>
              <w:jc w:val="center"/>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评审程序</w:t>
            </w:r>
          </w:p>
        </w:tc>
        <w:tc>
          <w:tcPr>
            <w:tcW w:w="9466" w:type="dxa"/>
            <w:gridSpan w:val="2"/>
            <w:noWrap/>
            <w:vAlign w:val="center"/>
          </w:tcPr>
          <w:p w14:paraId="79BBFEF7">
            <w:pPr>
              <w:spacing w:before="100" w:beforeAutospacing="1" w:after="100" w:afterAutospacing="1"/>
              <w:jc w:val="center"/>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评 审 内 容 及 标 准</w:t>
            </w:r>
          </w:p>
        </w:tc>
      </w:tr>
      <w:tr w14:paraId="0115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restart"/>
            <w:tcBorders>
              <w:left w:val="single" w:color="auto" w:sz="4" w:space="0"/>
            </w:tcBorders>
            <w:noWrap/>
            <w:vAlign w:val="center"/>
          </w:tcPr>
          <w:p w14:paraId="59A043E0">
            <w:pPr>
              <w:spacing w:before="100" w:beforeAutospacing="1" w:after="100" w:afterAutospacing="1"/>
              <w:jc w:val="center"/>
              <w:rPr>
                <w:rFonts w:hint="eastAsia" w:ascii="Times New Roman" w:hAnsi="Times New Roman" w:eastAsia="仿宋_GB2312" w:cs="Times New Roman"/>
                <w:sz w:val="28"/>
                <w:szCs w:val="28"/>
                <w:lang w:val="en-US" w:eastAsia="zh-Hans"/>
              </w:rPr>
            </w:pPr>
          </w:p>
        </w:tc>
        <w:tc>
          <w:tcPr>
            <w:tcW w:w="682" w:type="dxa"/>
            <w:noWrap/>
            <w:vAlign w:val="center"/>
          </w:tcPr>
          <w:p w14:paraId="1B40F938">
            <w:pPr>
              <w:spacing w:before="100" w:beforeAutospacing="1" w:after="100" w:afterAutospacing="1" w:line="320" w:lineRule="exact"/>
              <w:jc w:val="center"/>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1</w:t>
            </w:r>
          </w:p>
        </w:tc>
        <w:tc>
          <w:tcPr>
            <w:tcW w:w="8784" w:type="dxa"/>
            <w:noWrap/>
            <w:vAlign w:val="center"/>
          </w:tcPr>
          <w:p w14:paraId="65184A41">
            <w:pPr>
              <w:spacing w:before="100" w:beforeAutospacing="1" w:after="100" w:afterAutospacing="1" w:line="320" w:lineRule="exact"/>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投标人</w:t>
            </w:r>
            <w:r>
              <w:rPr>
                <w:rFonts w:hint="eastAsia" w:ascii="Times New Roman" w:hAnsi="Times New Roman" w:eastAsia="仿宋_GB2312" w:cs="Times New Roman"/>
                <w:sz w:val="28"/>
                <w:szCs w:val="28"/>
                <w:lang w:val="en-US" w:eastAsia="zh-Hans"/>
              </w:rPr>
              <w:t>应具备《中华人民共和国政府采购法》第二十二条规定的条件，并提供下列材料：</w:t>
            </w:r>
          </w:p>
        </w:tc>
      </w:tr>
      <w:tr w14:paraId="2627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tcBorders>
              <w:left w:val="single" w:color="auto" w:sz="4" w:space="0"/>
            </w:tcBorders>
            <w:noWrap/>
            <w:vAlign w:val="center"/>
          </w:tcPr>
          <w:p w14:paraId="1054CAA8">
            <w:pPr>
              <w:spacing w:before="100" w:beforeAutospacing="1" w:after="100" w:afterAutospacing="1"/>
              <w:jc w:val="center"/>
              <w:rPr>
                <w:rFonts w:hint="eastAsia" w:ascii="Times New Roman" w:hAnsi="Times New Roman" w:eastAsia="仿宋_GB2312" w:cs="Times New Roman"/>
                <w:sz w:val="28"/>
                <w:szCs w:val="28"/>
                <w:lang w:val="en-US" w:eastAsia="zh-Hans"/>
              </w:rPr>
            </w:pPr>
          </w:p>
        </w:tc>
        <w:tc>
          <w:tcPr>
            <w:tcW w:w="682" w:type="dxa"/>
            <w:noWrap/>
            <w:vAlign w:val="center"/>
          </w:tcPr>
          <w:p w14:paraId="44F89AA1">
            <w:pPr>
              <w:spacing w:before="100" w:beforeAutospacing="1" w:after="100" w:afterAutospacing="1" w:line="320" w:lineRule="exact"/>
              <w:jc w:val="center"/>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1.1</w:t>
            </w:r>
          </w:p>
        </w:tc>
        <w:tc>
          <w:tcPr>
            <w:tcW w:w="8784" w:type="dxa"/>
            <w:noWrap/>
            <w:vAlign w:val="center"/>
          </w:tcPr>
          <w:p w14:paraId="35AA5C97">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投标人具有独立承担民事责任的能力（提供营业执照扫描件）；</w:t>
            </w:r>
          </w:p>
        </w:tc>
      </w:tr>
      <w:tr w14:paraId="42C1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873" w:type="dxa"/>
            <w:vMerge w:val="continue"/>
            <w:tcBorders>
              <w:left w:val="single" w:color="auto" w:sz="4" w:space="0"/>
            </w:tcBorders>
            <w:noWrap/>
            <w:vAlign w:val="center"/>
          </w:tcPr>
          <w:p w14:paraId="3F813349">
            <w:pPr>
              <w:spacing w:before="100" w:beforeAutospacing="1" w:after="100" w:afterAutospacing="1"/>
              <w:jc w:val="center"/>
              <w:rPr>
                <w:rFonts w:hint="eastAsia" w:ascii="Times New Roman" w:hAnsi="Times New Roman" w:eastAsia="仿宋_GB2312" w:cs="Times New Roman"/>
                <w:sz w:val="28"/>
                <w:szCs w:val="28"/>
                <w:lang w:val="en-US" w:eastAsia="zh-Hans"/>
              </w:rPr>
            </w:pPr>
          </w:p>
        </w:tc>
        <w:tc>
          <w:tcPr>
            <w:tcW w:w="682" w:type="dxa"/>
            <w:noWrap/>
            <w:vAlign w:val="center"/>
          </w:tcPr>
          <w:p w14:paraId="1B571DF3">
            <w:pPr>
              <w:spacing w:before="100" w:beforeAutospacing="1" w:after="100" w:afterAutospacing="1" w:line="320" w:lineRule="exact"/>
              <w:jc w:val="left"/>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1.2</w:t>
            </w:r>
          </w:p>
        </w:tc>
        <w:tc>
          <w:tcPr>
            <w:tcW w:w="8784" w:type="dxa"/>
            <w:noWrap/>
            <w:vAlign w:val="center"/>
          </w:tcPr>
          <w:p w14:paraId="44A3AF05">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投标人具有良好的商业信誉和健全的财务会计制度（提供2023年或2024年度经第三方审计的审计报告或财务报表或相关财务情况说明，成立不满1年的，提供自成立至今财务报表或相关财务情况说明。投标人可根据自身情况提供上述任意一种证明材料）；</w:t>
            </w:r>
          </w:p>
        </w:tc>
      </w:tr>
      <w:tr w14:paraId="0E35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873" w:type="dxa"/>
            <w:vMerge w:val="continue"/>
            <w:tcBorders>
              <w:left w:val="single" w:color="auto" w:sz="4" w:space="0"/>
            </w:tcBorders>
            <w:noWrap/>
            <w:vAlign w:val="center"/>
          </w:tcPr>
          <w:p w14:paraId="72C2CB4F">
            <w:pPr>
              <w:spacing w:before="100" w:beforeAutospacing="1" w:after="100" w:afterAutospacing="1"/>
              <w:rPr>
                <w:rFonts w:hint="eastAsia" w:ascii="Times New Roman" w:hAnsi="Times New Roman" w:eastAsia="仿宋_GB2312" w:cs="Times New Roman"/>
                <w:sz w:val="28"/>
                <w:szCs w:val="28"/>
                <w:lang w:val="en-US" w:eastAsia="zh-Hans"/>
              </w:rPr>
            </w:pPr>
          </w:p>
        </w:tc>
        <w:tc>
          <w:tcPr>
            <w:tcW w:w="682" w:type="dxa"/>
            <w:noWrap/>
            <w:vAlign w:val="center"/>
          </w:tcPr>
          <w:p w14:paraId="482A946E">
            <w:pPr>
              <w:spacing w:before="100" w:beforeAutospacing="1" w:after="100" w:afterAutospacing="1" w:line="320" w:lineRule="exact"/>
              <w:jc w:val="left"/>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1.3</w:t>
            </w:r>
          </w:p>
        </w:tc>
        <w:tc>
          <w:tcPr>
            <w:tcW w:w="8784" w:type="dxa"/>
            <w:noWrap/>
          </w:tcPr>
          <w:p w14:paraId="1B8007AC">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投标人具有依法缴纳税收的良好记录（须提供缴税所属时间在2025年01月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tc>
      </w:tr>
      <w:tr w14:paraId="7151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73" w:type="dxa"/>
            <w:vMerge w:val="continue"/>
            <w:tcBorders>
              <w:left w:val="single" w:color="auto" w:sz="4" w:space="0"/>
            </w:tcBorders>
            <w:noWrap/>
            <w:vAlign w:val="center"/>
          </w:tcPr>
          <w:p w14:paraId="66A8D468">
            <w:pPr>
              <w:spacing w:before="100" w:beforeAutospacing="1" w:after="100" w:afterAutospacing="1"/>
              <w:rPr>
                <w:rFonts w:hint="eastAsia" w:ascii="Times New Roman" w:hAnsi="Times New Roman" w:eastAsia="仿宋_GB2312" w:cs="Times New Roman"/>
                <w:sz w:val="28"/>
                <w:szCs w:val="28"/>
                <w:lang w:val="en-US" w:eastAsia="zh-Hans"/>
              </w:rPr>
            </w:pPr>
          </w:p>
        </w:tc>
        <w:tc>
          <w:tcPr>
            <w:tcW w:w="682" w:type="dxa"/>
            <w:noWrap/>
            <w:vAlign w:val="center"/>
          </w:tcPr>
          <w:p w14:paraId="691D04E3">
            <w:pPr>
              <w:spacing w:before="100" w:beforeAutospacing="1" w:after="100" w:afterAutospacing="1" w:line="320" w:lineRule="exact"/>
              <w:jc w:val="left"/>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1.4</w:t>
            </w:r>
          </w:p>
        </w:tc>
        <w:tc>
          <w:tcPr>
            <w:tcW w:w="8784" w:type="dxa"/>
            <w:noWrap/>
          </w:tcPr>
          <w:p w14:paraId="171DE632">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CN"/>
              </w:rPr>
              <w:t>投标人具有依法缴纳社会保障资金的良好记录（须提供缴费所属时间在2025年01月至本项目投标文件提交截止时间前任意1个月的社会保险费缴款书或银行电子缴税（费）凭证或社保管理部门出具的有效的缴款证明，依法免缴的，应提供依法免缴的相关证明文件，新成立的企业（未满3个月）无须提供证明材料）；</w:t>
            </w:r>
          </w:p>
        </w:tc>
      </w:tr>
      <w:tr w14:paraId="3AF4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73" w:type="dxa"/>
            <w:vMerge w:val="continue"/>
            <w:tcBorders>
              <w:left w:val="single" w:color="auto" w:sz="4" w:space="0"/>
            </w:tcBorders>
            <w:noWrap/>
            <w:vAlign w:val="center"/>
          </w:tcPr>
          <w:p w14:paraId="7B364123">
            <w:pPr>
              <w:spacing w:before="100" w:beforeAutospacing="1" w:after="100" w:afterAutospacing="1"/>
              <w:rPr>
                <w:rFonts w:hint="eastAsia" w:ascii="Times New Roman" w:hAnsi="Times New Roman" w:eastAsia="仿宋_GB2312" w:cs="Times New Roman"/>
                <w:sz w:val="28"/>
                <w:szCs w:val="28"/>
                <w:lang w:val="en-US" w:eastAsia="zh-Hans"/>
              </w:rPr>
            </w:pPr>
          </w:p>
        </w:tc>
        <w:tc>
          <w:tcPr>
            <w:tcW w:w="682" w:type="dxa"/>
            <w:noWrap/>
            <w:vAlign w:val="center"/>
          </w:tcPr>
          <w:p w14:paraId="1BCCBEC4">
            <w:pPr>
              <w:spacing w:before="100" w:beforeAutospacing="1" w:after="100" w:afterAutospacing="1" w:line="320" w:lineRule="exact"/>
              <w:jc w:val="left"/>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1.5</w:t>
            </w:r>
          </w:p>
        </w:tc>
        <w:tc>
          <w:tcPr>
            <w:tcW w:w="8784" w:type="dxa"/>
            <w:noWrap/>
            <w:vAlign w:val="center"/>
          </w:tcPr>
          <w:p w14:paraId="3FDBB7A7">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CN"/>
              </w:rPr>
              <w:t>投标人具有履行合同所必需的设备和专业技术能力（投标人提供书面声明或证明材料）；</w:t>
            </w:r>
          </w:p>
        </w:tc>
      </w:tr>
      <w:tr w14:paraId="13BA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73" w:type="dxa"/>
            <w:vMerge w:val="continue"/>
            <w:tcBorders>
              <w:left w:val="single" w:color="auto" w:sz="4" w:space="0"/>
            </w:tcBorders>
            <w:noWrap/>
            <w:vAlign w:val="center"/>
          </w:tcPr>
          <w:p w14:paraId="6AF93DA7">
            <w:pPr>
              <w:spacing w:before="100" w:beforeAutospacing="1" w:after="100" w:afterAutospacing="1" w:line="360" w:lineRule="auto"/>
              <w:rPr>
                <w:rFonts w:hint="eastAsia" w:ascii="Times New Roman" w:hAnsi="Times New Roman" w:eastAsia="仿宋_GB2312" w:cs="Times New Roman"/>
                <w:sz w:val="28"/>
                <w:szCs w:val="28"/>
                <w:lang w:val="en-US" w:eastAsia="zh-Hans"/>
              </w:rPr>
            </w:pPr>
          </w:p>
        </w:tc>
        <w:tc>
          <w:tcPr>
            <w:tcW w:w="682" w:type="dxa"/>
            <w:noWrap/>
            <w:vAlign w:val="center"/>
          </w:tcPr>
          <w:p w14:paraId="20D2A4C2">
            <w:pPr>
              <w:spacing w:before="100" w:beforeAutospacing="1" w:after="100" w:afterAutospacing="1" w:line="360" w:lineRule="auto"/>
              <w:jc w:val="lef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1.6</w:t>
            </w:r>
          </w:p>
        </w:tc>
        <w:tc>
          <w:tcPr>
            <w:tcW w:w="8784" w:type="dxa"/>
            <w:noWrap/>
            <w:vAlign w:val="center"/>
          </w:tcPr>
          <w:p w14:paraId="330AADC8">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CN"/>
              </w:rPr>
              <w:t>投标人参加政府采购活动前三年内在经营活动中没有重大违法记录的书面声明（重大违法记录，是指供应商因违法经营受到刑事处罚或者责令停产停业、吊销许可证或者执照、较大数额罚款等行政处罚。）；</w:t>
            </w:r>
          </w:p>
        </w:tc>
      </w:tr>
      <w:tr w14:paraId="40FF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73" w:type="dxa"/>
            <w:vMerge w:val="continue"/>
            <w:tcBorders>
              <w:left w:val="single" w:color="auto" w:sz="4" w:space="0"/>
            </w:tcBorders>
            <w:noWrap/>
            <w:vAlign w:val="center"/>
          </w:tcPr>
          <w:p w14:paraId="1FE05451">
            <w:pPr>
              <w:spacing w:before="100" w:beforeAutospacing="1" w:after="100" w:afterAutospacing="1" w:line="360" w:lineRule="auto"/>
              <w:rPr>
                <w:rFonts w:hint="eastAsia" w:ascii="Times New Roman" w:hAnsi="Times New Roman" w:eastAsia="仿宋_GB2312" w:cs="Times New Roman"/>
                <w:sz w:val="28"/>
                <w:szCs w:val="28"/>
                <w:lang w:val="en-US" w:eastAsia="zh-Hans"/>
              </w:rPr>
            </w:pPr>
          </w:p>
        </w:tc>
        <w:tc>
          <w:tcPr>
            <w:tcW w:w="682" w:type="dxa"/>
            <w:noWrap/>
            <w:vAlign w:val="center"/>
          </w:tcPr>
          <w:p w14:paraId="188A1F91">
            <w:pPr>
              <w:spacing w:before="100" w:beforeAutospacing="1" w:after="100" w:afterAutospacing="1" w:line="360" w:lineRule="auto"/>
              <w:jc w:val="center"/>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2</w:t>
            </w:r>
          </w:p>
        </w:tc>
        <w:tc>
          <w:tcPr>
            <w:tcW w:w="8784" w:type="dxa"/>
            <w:noWrap/>
            <w:vAlign w:val="center"/>
          </w:tcPr>
          <w:p w14:paraId="58E23FE2">
            <w:pPr>
              <w:spacing w:before="100" w:beforeAutospacing="1" w:after="100" w:afterAutospacing="1" w:line="360" w:lineRule="auto"/>
              <w:jc w:val="left"/>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CN"/>
              </w:rPr>
              <w:t>投标人</w:t>
            </w:r>
            <w:r>
              <w:rPr>
                <w:rFonts w:hint="eastAsia" w:ascii="Times New Roman" w:hAnsi="Times New Roman" w:eastAsia="仿宋_GB2312" w:cs="Times New Roman"/>
                <w:sz w:val="28"/>
                <w:szCs w:val="28"/>
                <w:lang w:val="en-US" w:eastAsia="zh-Hans"/>
              </w:rPr>
              <w:t>应符合采购人根据采购项目的特殊要求规定的特定条件：</w:t>
            </w:r>
          </w:p>
        </w:tc>
      </w:tr>
      <w:tr w14:paraId="2760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873" w:type="dxa"/>
            <w:vMerge w:val="continue"/>
            <w:tcBorders>
              <w:left w:val="single" w:color="auto" w:sz="4" w:space="0"/>
            </w:tcBorders>
            <w:noWrap/>
            <w:vAlign w:val="center"/>
          </w:tcPr>
          <w:p w14:paraId="4ADB1527">
            <w:pPr>
              <w:spacing w:before="100" w:beforeAutospacing="1" w:after="100" w:afterAutospacing="1" w:line="360" w:lineRule="auto"/>
              <w:rPr>
                <w:rFonts w:hint="eastAsia" w:ascii="Times New Roman" w:hAnsi="Times New Roman" w:eastAsia="仿宋_GB2312" w:cs="Times New Roman"/>
                <w:sz w:val="28"/>
                <w:szCs w:val="28"/>
                <w:lang w:val="en-US" w:eastAsia="zh-Hans"/>
              </w:rPr>
            </w:pPr>
          </w:p>
        </w:tc>
        <w:tc>
          <w:tcPr>
            <w:tcW w:w="682" w:type="dxa"/>
            <w:noWrap/>
            <w:vAlign w:val="center"/>
          </w:tcPr>
          <w:p w14:paraId="167EB410">
            <w:pPr>
              <w:spacing w:before="100" w:beforeAutospacing="1" w:after="100" w:afterAutospacing="1" w:line="360" w:lineRule="auto"/>
              <w:jc w:val="center"/>
              <w:rPr>
                <w:rFonts w:hint="eastAsia" w:ascii="Times New Roman" w:hAnsi="Times New Roman" w:eastAsia="仿宋_GB2312" w:cs="Times New Roman"/>
                <w:sz w:val="28"/>
                <w:szCs w:val="28"/>
                <w:lang w:val="en-US" w:eastAsia="zh-Hans"/>
              </w:rPr>
            </w:pPr>
            <w:r>
              <w:rPr>
                <w:rFonts w:hint="eastAsia" w:ascii="Times New Roman" w:hAnsi="Times New Roman" w:eastAsia="仿宋_GB2312" w:cs="Times New Roman"/>
                <w:sz w:val="28"/>
                <w:szCs w:val="28"/>
                <w:lang w:val="en-US" w:eastAsia="zh-Hans"/>
              </w:rPr>
              <w:t>2.1</w:t>
            </w:r>
          </w:p>
        </w:tc>
        <w:tc>
          <w:tcPr>
            <w:tcW w:w="8784" w:type="dxa"/>
            <w:noWrap/>
            <w:vAlign w:val="center"/>
          </w:tcPr>
          <w:p w14:paraId="6A6BA932">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投标人为代理商或经销商的，须提供医疗器械经营许可证/备案，所投产品制造商的医疗器械生产许可证（制造商工商注册地在中华人民共和国境外的，不做此要求）、所投产品的医疗器械注册证及附件；投标人为制造商的，须提供医疗器械生产许可证（制造商工商注册地在中华人民共和国境外的，不做此要求）、所投产品的医疗器械注册证及附件；医疗器械生产或经营许可证的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w:t>
            </w:r>
          </w:p>
        </w:tc>
      </w:tr>
      <w:tr w14:paraId="235F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3" w:type="dxa"/>
            <w:vMerge w:val="continue"/>
            <w:tcBorders>
              <w:left w:val="single" w:color="auto" w:sz="4" w:space="0"/>
              <w:bottom w:val="single" w:color="auto" w:sz="4" w:space="0"/>
            </w:tcBorders>
            <w:noWrap/>
            <w:vAlign w:val="center"/>
          </w:tcPr>
          <w:p w14:paraId="70FDB480">
            <w:pPr>
              <w:spacing w:before="100" w:beforeAutospacing="1" w:after="100" w:afterAutospacing="1" w:line="360" w:lineRule="auto"/>
              <w:rPr>
                <w:rFonts w:hint="eastAsia" w:ascii="Times New Roman" w:hAnsi="Times New Roman" w:eastAsia="仿宋_GB2312" w:cs="Times New Roman"/>
                <w:sz w:val="28"/>
                <w:szCs w:val="28"/>
                <w:lang w:val="en-US" w:eastAsia="zh-Hans"/>
              </w:rPr>
            </w:pPr>
          </w:p>
        </w:tc>
        <w:tc>
          <w:tcPr>
            <w:tcW w:w="682" w:type="dxa"/>
            <w:tcBorders>
              <w:bottom w:val="single" w:color="auto" w:sz="4" w:space="0"/>
            </w:tcBorders>
            <w:noWrap/>
            <w:vAlign w:val="center"/>
          </w:tcPr>
          <w:p w14:paraId="2E798454">
            <w:pPr>
              <w:spacing w:before="100" w:beforeAutospacing="1" w:after="100" w:afterAutospacing="1"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2.2</w:t>
            </w:r>
          </w:p>
        </w:tc>
        <w:tc>
          <w:tcPr>
            <w:tcW w:w="8784" w:type="dxa"/>
            <w:noWrap/>
            <w:vAlign w:val="center"/>
          </w:tcPr>
          <w:p w14:paraId="21E110F5">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 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tc>
      </w:tr>
      <w:tr w14:paraId="0EF6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873" w:type="dxa"/>
            <w:vMerge w:val="continue"/>
            <w:tcBorders>
              <w:top w:val="single" w:color="auto" w:sz="4" w:space="0"/>
              <w:left w:val="single" w:color="auto" w:sz="4" w:space="0"/>
              <w:bottom w:val="nil"/>
            </w:tcBorders>
            <w:noWrap/>
            <w:vAlign w:val="center"/>
          </w:tcPr>
          <w:p w14:paraId="606659AC">
            <w:pPr>
              <w:spacing w:before="100" w:beforeAutospacing="1" w:after="100" w:afterAutospacing="1" w:line="360" w:lineRule="auto"/>
              <w:rPr>
                <w:rFonts w:hint="eastAsia" w:ascii="Times New Roman" w:hAnsi="Times New Roman" w:eastAsia="仿宋_GB2312" w:cs="Times New Roman"/>
                <w:sz w:val="28"/>
                <w:szCs w:val="28"/>
                <w:lang w:val="en-US" w:eastAsia="zh-Hans"/>
              </w:rPr>
            </w:pPr>
          </w:p>
        </w:tc>
        <w:tc>
          <w:tcPr>
            <w:tcW w:w="682" w:type="dxa"/>
            <w:tcBorders>
              <w:top w:val="single" w:color="auto" w:sz="4" w:space="0"/>
              <w:right w:val="single" w:color="auto" w:sz="4" w:space="0"/>
            </w:tcBorders>
            <w:noWrap/>
            <w:vAlign w:val="center"/>
          </w:tcPr>
          <w:p w14:paraId="1C7248FE">
            <w:pPr>
              <w:spacing w:before="100" w:beforeAutospacing="1" w:after="100" w:afterAutospacing="1"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2.3</w:t>
            </w:r>
          </w:p>
        </w:tc>
        <w:tc>
          <w:tcPr>
            <w:tcW w:w="8784" w:type="dxa"/>
            <w:tcBorders>
              <w:left w:val="single" w:color="auto" w:sz="4" w:space="0"/>
            </w:tcBorders>
            <w:noWrap/>
            <w:vAlign w:val="center"/>
          </w:tcPr>
          <w:p w14:paraId="35BB6F7A">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根据《中华人民共和国政府采购法实施条例》第十八条规定，单位负责人为同一人或者存在直接控股、管理关系的不同供应商，不得参加同一合同项下的采购活动（提供书面声明即可）。</w:t>
            </w:r>
          </w:p>
        </w:tc>
      </w:tr>
      <w:tr w14:paraId="04F5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873" w:type="dxa"/>
            <w:tcBorders>
              <w:top w:val="nil"/>
              <w:left w:val="single" w:color="auto" w:sz="4" w:space="0"/>
              <w:bottom w:val="single" w:color="auto" w:sz="4" w:space="0"/>
            </w:tcBorders>
            <w:noWrap/>
            <w:vAlign w:val="center"/>
          </w:tcPr>
          <w:p w14:paraId="1F8C8EA3">
            <w:pPr>
              <w:spacing w:before="100" w:beforeAutospacing="1" w:after="100" w:afterAutospacing="1" w:line="360" w:lineRule="auto"/>
              <w:rPr>
                <w:rFonts w:hint="eastAsia" w:ascii="Times New Roman" w:hAnsi="Times New Roman" w:eastAsia="仿宋_GB2312" w:cs="Times New Roman"/>
                <w:sz w:val="28"/>
                <w:szCs w:val="28"/>
                <w:lang w:val="en-US" w:eastAsia="zh-Hans"/>
              </w:rPr>
            </w:pPr>
          </w:p>
        </w:tc>
        <w:tc>
          <w:tcPr>
            <w:tcW w:w="682" w:type="dxa"/>
            <w:tcBorders>
              <w:bottom w:val="single" w:color="auto" w:sz="4" w:space="0"/>
              <w:right w:val="single" w:color="auto" w:sz="4" w:space="0"/>
            </w:tcBorders>
            <w:noWrap/>
            <w:vAlign w:val="center"/>
          </w:tcPr>
          <w:p w14:paraId="724E414A">
            <w:pPr>
              <w:spacing w:before="100" w:beforeAutospacing="1" w:after="100" w:afterAutospacing="1"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2.4</w:t>
            </w:r>
          </w:p>
        </w:tc>
        <w:tc>
          <w:tcPr>
            <w:tcW w:w="8784" w:type="dxa"/>
            <w:tcBorders>
              <w:left w:val="single" w:color="auto" w:sz="4" w:space="0"/>
            </w:tcBorders>
            <w:noWrap/>
            <w:vAlign w:val="center"/>
          </w:tcPr>
          <w:p w14:paraId="29FC912B">
            <w:pPr>
              <w:keepNext w:val="0"/>
              <w:keepLines w:val="0"/>
              <w:pageBreakBefore w:val="0"/>
              <w:kinsoku/>
              <w:wordWrap/>
              <w:overflowPunct/>
              <w:topLinePunct w:val="0"/>
              <w:autoSpaceDE/>
              <w:autoSpaceDN/>
              <w:bidi w:val="0"/>
              <w:adjustRightInd/>
              <w:snapToGrid/>
              <w:spacing w:line="554"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本项目不接受联合体投标（提供书面声明）。</w:t>
            </w:r>
          </w:p>
        </w:tc>
      </w:tr>
    </w:tbl>
    <w:p w14:paraId="5F7DB25C">
      <w:pPr>
        <w:bidi w:val="0"/>
        <w:rPr>
          <w:rFonts w:hint="eastAsia" w:ascii="Times New Roman" w:hAnsi="Times New Roman" w:eastAsia="仿宋_GB2312" w:cs="Times New Roman"/>
          <w:sz w:val="28"/>
          <w:szCs w:val="28"/>
          <w:lang w:val="en-US" w:eastAsia="zh-CN"/>
        </w:rPr>
      </w:pPr>
    </w:p>
    <w:p w14:paraId="2E7EF285">
      <w:pPr>
        <w:pStyle w:val="7"/>
        <w:rPr>
          <w:rFonts w:hint="eastAsia" w:ascii="Times New Roman" w:hAnsi="Times New Roman" w:eastAsia="仿宋_GB2312" w:cs="Times New Roman"/>
          <w:sz w:val="28"/>
          <w:szCs w:val="28"/>
          <w:lang w:val="en-US" w:eastAsia="zh-CN"/>
        </w:rPr>
      </w:pPr>
    </w:p>
    <w:p w14:paraId="1CF968F1">
      <w:pPr>
        <w:pStyle w:val="23"/>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Hans"/>
        </w:rPr>
        <w:br w:type="page"/>
      </w:r>
    </w:p>
    <w:p w14:paraId="5E454A8D">
      <w:pPr>
        <w:pStyle w:val="23"/>
        <w:numPr>
          <w:ilvl w:val="0"/>
          <w:numId w:val="0"/>
        </w:numPr>
        <w:jc w:val="center"/>
        <w:outlineLvl w:val="1"/>
        <w:rPr>
          <w:rFonts w:hint="default"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 xml:space="preserve">第四章 </w:t>
      </w:r>
      <w:r>
        <w:rPr>
          <w:rFonts w:hint="default" w:ascii="Times New Roman" w:hAnsi="Times New Roman" w:eastAsia="仿宋_GB2312" w:cs="Times New Roman"/>
          <w:b/>
          <w:sz w:val="28"/>
          <w:szCs w:val="28"/>
        </w:rPr>
        <w:t>评标办法</w:t>
      </w:r>
    </w:p>
    <w:p w14:paraId="5AA75D74">
      <w:pPr>
        <w:pStyle w:val="23"/>
        <w:numPr>
          <w:ilvl w:val="0"/>
          <w:numId w:val="0"/>
        </w:numPr>
        <w:jc w:val="both"/>
        <w:outlineLvl w:val="1"/>
        <w:rPr>
          <w:rFonts w:hint="default" w:ascii="Times New Roman" w:hAnsi="Times New Roman" w:eastAsia="仿宋_GB2312" w:cs="Times New Roman"/>
          <w:b/>
          <w:sz w:val="28"/>
          <w:szCs w:val="28"/>
        </w:rPr>
      </w:pPr>
    </w:p>
    <w:p w14:paraId="03F4B6C3">
      <w:pPr>
        <w:pStyle w:val="29"/>
        <w:spacing w:line="360" w:lineRule="auto"/>
        <w:ind w:left="120" w:firstLine="0"/>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评标办法前附表</w:t>
      </w:r>
    </w:p>
    <w:p w14:paraId="207F07A3">
      <w:pPr>
        <w:pStyle w:val="15"/>
        <w:ind w:left="0" w:leftChars="0" w:firstLine="0" w:firstLineChars="0"/>
        <w:outlineLvl w:val="3"/>
        <w:rPr>
          <w:rFonts w:hint="default" w:ascii="Times New Roman" w:hAnsi="Times New Roman" w:eastAsia="方正仿宋_GBK" w:cs="Times New Roman"/>
          <w:b/>
          <w:bCs/>
          <w:color w:val="auto"/>
          <w:sz w:val="24"/>
          <w:szCs w:val="24"/>
          <w:highlight w:val="none"/>
        </w:rPr>
      </w:pPr>
      <w:r>
        <w:rPr>
          <w:rFonts w:hint="default" w:ascii="Times New Roman" w:hAnsi="Times New Roman" w:eastAsia="方正仿宋_GBK" w:cs="Times New Roman"/>
          <w:b/>
          <w:bCs/>
          <w:color w:val="auto"/>
          <w:sz w:val="24"/>
          <w:szCs w:val="24"/>
          <w:highlight w:val="none"/>
        </w:rPr>
        <w:t>1</w:t>
      </w:r>
      <w:r>
        <w:rPr>
          <w:rFonts w:hint="default" w:ascii="Times New Roman" w:hAnsi="Times New Roman" w:eastAsia="方正仿宋_GBK" w:cs="Times New Roman"/>
          <w:b/>
          <w:bCs/>
          <w:color w:val="auto"/>
          <w:sz w:val="24"/>
          <w:szCs w:val="24"/>
          <w:highlight w:val="none"/>
          <w:lang w:val="en-US" w:eastAsia="zh-CN"/>
        </w:rPr>
        <w:t>.</w:t>
      </w:r>
      <w:r>
        <w:rPr>
          <w:rFonts w:hint="default" w:ascii="Times New Roman" w:hAnsi="Times New Roman" w:eastAsia="方正仿宋_GBK" w:cs="Times New Roman"/>
          <w:b/>
          <w:bCs/>
          <w:color w:val="auto"/>
          <w:sz w:val="24"/>
          <w:szCs w:val="24"/>
          <w:highlight w:val="none"/>
        </w:rPr>
        <w:t>符合性审查</w:t>
      </w:r>
    </w:p>
    <w:tbl>
      <w:tblPr>
        <w:tblStyle w:val="16"/>
        <w:tblW w:w="96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1"/>
        <w:gridCol w:w="1282"/>
        <w:gridCol w:w="2718"/>
        <w:gridCol w:w="4877"/>
      </w:tblGrid>
      <w:tr w14:paraId="39E257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023" w:type="dxa"/>
            <w:gridSpan w:val="2"/>
            <w:vAlign w:val="center"/>
          </w:tcPr>
          <w:p w14:paraId="643EB87E">
            <w:pPr>
              <w:spacing w:line="360" w:lineRule="auto"/>
              <w:jc w:val="center"/>
              <w:rPr>
                <w:rFonts w:hint="default" w:ascii="Times New Roman" w:hAnsi="Times New Roman" w:eastAsia="方正书宋_GBK" w:cs="Times New Roman"/>
                <w:b/>
                <w:color w:val="auto"/>
                <w:sz w:val="24"/>
                <w:szCs w:val="24"/>
                <w:highlight w:val="none"/>
              </w:rPr>
            </w:pPr>
            <w:r>
              <w:rPr>
                <w:rFonts w:hint="default" w:ascii="Times New Roman" w:hAnsi="Times New Roman" w:eastAsia="方正书宋_GBK" w:cs="Times New Roman"/>
                <w:b/>
                <w:color w:val="auto"/>
                <w:sz w:val="24"/>
                <w:szCs w:val="24"/>
                <w:highlight w:val="none"/>
              </w:rPr>
              <w:t>条款号</w:t>
            </w:r>
          </w:p>
        </w:tc>
        <w:tc>
          <w:tcPr>
            <w:tcW w:w="2718" w:type="dxa"/>
            <w:vAlign w:val="center"/>
          </w:tcPr>
          <w:p w14:paraId="7DBA3CFA">
            <w:pPr>
              <w:spacing w:line="360" w:lineRule="auto"/>
              <w:jc w:val="center"/>
              <w:rPr>
                <w:rFonts w:hint="default" w:ascii="Times New Roman" w:hAnsi="Times New Roman" w:eastAsia="方正书宋_GBK" w:cs="Times New Roman"/>
                <w:b/>
                <w:color w:val="auto"/>
                <w:sz w:val="24"/>
                <w:szCs w:val="24"/>
                <w:highlight w:val="none"/>
              </w:rPr>
            </w:pPr>
            <w:r>
              <w:rPr>
                <w:rFonts w:hint="default" w:ascii="Times New Roman" w:hAnsi="Times New Roman" w:eastAsia="方正书宋_GBK" w:cs="Times New Roman"/>
                <w:b/>
                <w:color w:val="auto"/>
                <w:sz w:val="24"/>
                <w:szCs w:val="24"/>
                <w:highlight w:val="none"/>
              </w:rPr>
              <w:t>评审因素</w:t>
            </w:r>
          </w:p>
        </w:tc>
        <w:tc>
          <w:tcPr>
            <w:tcW w:w="4877" w:type="dxa"/>
            <w:vAlign w:val="center"/>
          </w:tcPr>
          <w:p w14:paraId="0F5B82B4">
            <w:pPr>
              <w:spacing w:line="360" w:lineRule="auto"/>
              <w:jc w:val="center"/>
              <w:rPr>
                <w:rFonts w:hint="default" w:ascii="Times New Roman" w:hAnsi="Times New Roman" w:eastAsia="方正书宋_GBK" w:cs="Times New Roman"/>
                <w:b/>
                <w:color w:val="auto"/>
                <w:sz w:val="24"/>
                <w:szCs w:val="24"/>
                <w:highlight w:val="none"/>
              </w:rPr>
            </w:pPr>
            <w:r>
              <w:rPr>
                <w:rFonts w:hint="default" w:ascii="Times New Roman" w:hAnsi="Times New Roman" w:eastAsia="方正书宋_GBK" w:cs="Times New Roman"/>
                <w:b/>
                <w:color w:val="auto"/>
                <w:sz w:val="24"/>
                <w:szCs w:val="24"/>
                <w:highlight w:val="none"/>
              </w:rPr>
              <w:t>评审标准</w:t>
            </w:r>
          </w:p>
        </w:tc>
      </w:tr>
      <w:tr w14:paraId="7029E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41" w:type="dxa"/>
            <w:vMerge w:val="restart"/>
            <w:vAlign w:val="center"/>
          </w:tcPr>
          <w:p w14:paraId="32A15605">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.1</w:t>
            </w:r>
          </w:p>
          <w:p w14:paraId="12DF6EDE">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restart"/>
            <w:vAlign w:val="center"/>
          </w:tcPr>
          <w:p w14:paraId="3FA0D186">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符合性</w:t>
            </w:r>
            <w:r>
              <w:rPr>
                <w:rFonts w:hint="default" w:ascii="Times New Roman" w:hAnsi="Times New Roman" w:eastAsia="方正仿宋_GBK" w:cs="Times New Roman"/>
                <w:color w:val="auto"/>
                <w:sz w:val="28"/>
                <w:szCs w:val="28"/>
                <w:highlight w:val="none"/>
                <w:lang w:val="en-US" w:eastAsia="zh-CN"/>
              </w:rPr>
              <w:t>评审</w:t>
            </w:r>
            <w:r>
              <w:rPr>
                <w:rFonts w:hint="default" w:ascii="Times New Roman" w:hAnsi="Times New Roman" w:eastAsia="方正仿宋_GBK" w:cs="Times New Roman"/>
                <w:color w:val="auto"/>
                <w:sz w:val="28"/>
                <w:szCs w:val="28"/>
                <w:highlight w:val="none"/>
              </w:rPr>
              <w:t>标准</w:t>
            </w:r>
          </w:p>
        </w:tc>
        <w:tc>
          <w:tcPr>
            <w:tcW w:w="2718" w:type="dxa"/>
            <w:vAlign w:val="center"/>
          </w:tcPr>
          <w:p w14:paraId="50E6BCAE">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投标价格</w:t>
            </w:r>
          </w:p>
        </w:tc>
        <w:tc>
          <w:tcPr>
            <w:tcW w:w="4877" w:type="dxa"/>
            <w:vAlign w:val="center"/>
          </w:tcPr>
          <w:p w14:paraId="6A0394E6">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低于（含等于）采购</w:t>
            </w:r>
            <w:r>
              <w:rPr>
                <w:rFonts w:hint="default" w:ascii="Times New Roman" w:hAnsi="Times New Roman" w:eastAsia="方正仿宋_GBK" w:cs="Times New Roman"/>
                <w:color w:val="auto"/>
                <w:sz w:val="28"/>
                <w:szCs w:val="28"/>
                <w:highlight w:val="none"/>
                <w:lang w:val="en-US" w:eastAsia="zh-CN"/>
              </w:rPr>
              <w:t>最高限</w:t>
            </w:r>
            <w:r>
              <w:rPr>
                <w:rFonts w:hint="default" w:ascii="Times New Roman" w:hAnsi="Times New Roman" w:eastAsia="方正仿宋_GBK" w:cs="Times New Roman"/>
                <w:color w:val="auto"/>
                <w:sz w:val="28"/>
                <w:szCs w:val="28"/>
                <w:highlight w:val="none"/>
              </w:rPr>
              <w:t>价</w:t>
            </w:r>
          </w:p>
        </w:tc>
      </w:tr>
      <w:tr w14:paraId="1BC14D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41" w:type="dxa"/>
            <w:vMerge w:val="continue"/>
            <w:vAlign w:val="center"/>
          </w:tcPr>
          <w:p w14:paraId="0D1D3388">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132D2C08">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4F25B30A">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投标</w:t>
            </w:r>
            <w:r>
              <w:rPr>
                <w:rFonts w:hint="default" w:ascii="Times New Roman" w:hAnsi="Times New Roman" w:eastAsia="方正仿宋_GBK" w:cs="Times New Roman"/>
                <w:color w:val="auto"/>
                <w:sz w:val="28"/>
                <w:szCs w:val="28"/>
                <w:highlight w:val="none"/>
              </w:rPr>
              <w:t>文件的签署</w:t>
            </w:r>
          </w:p>
        </w:tc>
        <w:tc>
          <w:tcPr>
            <w:tcW w:w="4877" w:type="dxa"/>
            <w:vAlign w:val="center"/>
          </w:tcPr>
          <w:p w14:paraId="58C793B5">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符合</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的规定</w:t>
            </w:r>
          </w:p>
        </w:tc>
      </w:tr>
      <w:tr w14:paraId="3FE06F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41" w:type="dxa"/>
            <w:vMerge w:val="continue"/>
            <w:vAlign w:val="center"/>
          </w:tcPr>
          <w:p w14:paraId="7DCF1478">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4EFE7095">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3B65EFC3">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投标人</w:t>
            </w:r>
            <w:r>
              <w:rPr>
                <w:rFonts w:hint="default" w:ascii="Times New Roman" w:hAnsi="Times New Roman" w:eastAsia="方正仿宋_GBK" w:cs="Times New Roman"/>
                <w:color w:val="auto"/>
                <w:sz w:val="28"/>
                <w:szCs w:val="28"/>
                <w:highlight w:val="none"/>
              </w:rPr>
              <w:t>名称</w:t>
            </w:r>
          </w:p>
        </w:tc>
        <w:tc>
          <w:tcPr>
            <w:tcW w:w="4877" w:type="dxa"/>
            <w:vAlign w:val="center"/>
          </w:tcPr>
          <w:p w14:paraId="5B6E41EA">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与营业执照一致</w:t>
            </w:r>
          </w:p>
        </w:tc>
      </w:tr>
      <w:tr w14:paraId="4FB85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41" w:type="dxa"/>
            <w:vMerge w:val="continue"/>
            <w:vAlign w:val="center"/>
          </w:tcPr>
          <w:p w14:paraId="1870D252">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10218242">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5051BD35">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投标内容</w:t>
            </w:r>
          </w:p>
        </w:tc>
        <w:tc>
          <w:tcPr>
            <w:tcW w:w="4877" w:type="dxa"/>
            <w:vAlign w:val="center"/>
          </w:tcPr>
          <w:p w14:paraId="0B6381D6">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符合</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的规定</w:t>
            </w:r>
          </w:p>
        </w:tc>
      </w:tr>
      <w:tr w14:paraId="69A11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41" w:type="dxa"/>
            <w:vMerge w:val="continue"/>
            <w:vAlign w:val="center"/>
          </w:tcPr>
          <w:p w14:paraId="7C5E51EE">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62A5AFEA">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4AA7CDBC">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合同履行期限</w:t>
            </w:r>
          </w:p>
        </w:tc>
        <w:tc>
          <w:tcPr>
            <w:tcW w:w="4877" w:type="dxa"/>
            <w:vAlign w:val="center"/>
          </w:tcPr>
          <w:p w14:paraId="19E7713D">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符合</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的规定</w:t>
            </w:r>
          </w:p>
        </w:tc>
      </w:tr>
      <w:tr w14:paraId="221187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41" w:type="dxa"/>
            <w:vMerge w:val="continue"/>
            <w:vAlign w:val="center"/>
          </w:tcPr>
          <w:p w14:paraId="202C8F16">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2857514F">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6AB071A3">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交货地点</w:t>
            </w:r>
          </w:p>
        </w:tc>
        <w:tc>
          <w:tcPr>
            <w:tcW w:w="4877" w:type="dxa"/>
            <w:vAlign w:val="center"/>
          </w:tcPr>
          <w:p w14:paraId="5088E27F">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符合</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的规定</w:t>
            </w:r>
          </w:p>
        </w:tc>
      </w:tr>
      <w:tr w14:paraId="09302A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741" w:type="dxa"/>
            <w:vMerge w:val="continue"/>
            <w:vAlign w:val="center"/>
          </w:tcPr>
          <w:p w14:paraId="009E0DFC">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07EF36C1">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37044A50">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质保期</w:t>
            </w:r>
          </w:p>
        </w:tc>
        <w:tc>
          <w:tcPr>
            <w:tcW w:w="4877" w:type="dxa"/>
            <w:vAlign w:val="center"/>
          </w:tcPr>
          <w:p w14:paraId="0AEDEE33">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符合</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的规定</w:t>
            </w:r>
          </w:p>
        </w:tc>
      </w:tr>
      <w:tr w14:paraId="4126D6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41" w:type="dxa"/>
            <w:vMerge w:val="continue"/>
            <w:vAlign w:val="center"/>
          </w:tcPr>
          <w:p w14:paraId="3C70DCBE">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59ED9FBC">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4DB5D3B8">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质量标准</w:t>
            </w:r>
          </w:p>
        </w:tc>
        <w:tc>
          <w:tcPr>
            <w:tcW w:w="4877" w:type="dxa"/>
            <w:vAlign w:val="center"/>
          </w:tcPr>
          <w:p w14:paraId="00600BC4">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rPr>
              <w:t>符合</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的规定</w:t>
            </w:r>
          </w:p>
        </w:tc>
      </w:tr>
      <w:tr w14:paraId="5E8C95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41" w:type="dxa"/>
            <w:vMerge w:val="continue"/>
            <w:vAlign w:val="center"/>
          </w:tcPr>
          <w:p w14:paraId="5094963C">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368EEA74">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4469A6A4">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投标有效期</w:t>
            </w:r>
          </w:p>
        </w:tc>
        <w:tc>
          <w:tcPr>
            <w:tcW w:w="4877" w:type="dxa"/>
            <w:vAlign w:val="center"/>
          </w:tcPr>
          <w:p w14:paraId="3217F7A9">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从提交投标文件截止之日起</w:t>
            </w:r>
            <w:r>
              <w:rPr>
                <w:rFonts w:hint="default" w:ascii="Times New Roman" w:hAnsi="Times New Roman" w:eastAsia="方正仿宋_GBK" w:cs="Times New Roman"/>
                <w:color w:val="auto"/>
                <w:sz w:val="28"/>
                <w:szCs w:val="28"/>
                <w:highlight w:val="none"/>
                <w:u w:val="single"/>
                <w:lang w:eastAsia="zh-CN"/>
              </w:rPr>
              <w:t>90</w:t>
            </w:r>
            <w:r>
              <w:rPr>
                <w:rFonts w:hint="default" w:ascii="Times New Roman" w:hAnsi="Times New Roman" w:eastAsia="方正仿宋_GBK" w:cs="Times New Roman"/>
                <w:color w:val="auto"/>
                <w:sz w:val="28"/>
                <w:szCs w:val="28"/>
                <w:highlight w:val="none"/>
                <w:lang w:eastAsia="zh-CN"/>
              </w:rPr>
              <w:t>日历天</w:t>
            </w:r>
          </w:p>
        </w:tc>
      </w:tr>
      <w:tr w14:paraId="529A06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741" w:type="dxa"/>
            <w:vMerge w:val="continue"/>
            <w:vAlign w:val="center"/>
          </w:tcPr>
          <w:p w14:paraId="1B65E212">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1282" w:type="dxa"/>
            <w:vMerge w:val="continue"/>
            <w:vAlign w:val="center"/>
          </w:tcPr>
          <w:p w14:paraId="7422DC50">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p>
        </w:tc>
        <w:tc>
          <w:tcPr>
            <w:tcW w:w="2718" w:type="dxa"/>
            <w:vAlign w:val="center"/>
          </w:tcPr>
          <w:p w14:paraId="104612C9">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其他</w:t>
            </w:r>
          </w:p>
        </w:tc>
        <w:tc>
          <w:tcPr>
            <w:tcW w:w="4877" w:type="dxa"/>
            <w:vAlign w:val="center"/>
          </w:tcPr>
          <w:p w14:paraId="24B7FA4A">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其他情形</w:t>
            </w:r>
          </w:p>
        </w:tc>
      </w:tr>
      <w:tr w14:paraId="7ED043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9618" w:type="dxa"/>
            <w:gridSpan w:val="4"/>
            <w:vAlign w:val="center"/>
          </w:tcPr>
          <w:p w14:paraId="1C861832">
            <w:pPr>
              <w:pageBreakBefore w:val="0"/>
              <w:kinsoku/>
              <w:wordWrap/>
              <w:overflowPunct/>
              <w:topLinePunct w:val="0"/>
              <w:bidi w:val="0"/>
              <w:spacing w:line="460" w:lineRule="exact"/>
              <w:jc w:val="both"/>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注：</w:t>
            </w:r>
            <w:r>
              <w:rPr>
                <w:rFonts w:hint="default" w:ascii="Times New Roman" w:hAnsi="Times New Roman" w:eastAsia="方正仿宋_GBK" w:cs="Times New Roman"/>
                <w:b/>
                <w:bCs/>
                <w:color w:val="auto"/>
                <w:sz w:val="28"/>
                <w:szCs w:val="28"/>
                <w:highlight w:val="none"/>
              </w:rPr>
              <w:t>投标文件出现不满足</w:t>
            </w:r>
            <w:r>
              <w:rPr>
                <w:rFonts w:hint="default" w:ascii="Times New Roman" w:hAnsi="Times New Roman" w:eastAsia="方正仿宋_GBK" w:cs="Times New Roman"/>
                <w:b/>
                <w:bCs/>
                <w:color w:val="auto"/>
                <w:sz w:val="28"/>
                <w:szCs w:val="28"/>
                <w:highlight w:val="none"/>
                <w:lang w:val="en-US" w:eastAsia="zh-CN"/>
              </w:rPr>
              <w:t>上述</w:t>
            </w:r>
            <w:r>
              <w:rPr>
                <w:rFonts w:hint="default" w:ascii="Times New Roman" w:hAnsi="Times New Roman" w:eastAsia="方正仿宋_GBK" w:cs="Times New Roman"/>
                <w:b/>
                <w:bCs/>
                <w:color w:val="auto"/>
                <w:sz w:val="28"/>
                <w:szCs w:val="28"/>
                <w:highlight w:val="none"/>
              </w:rPr>
              <w:t>各项评审内容之一的，则</w:t>
            </w:r>
            <w:r>
              <w:rPr>
                <w:rFonts w:hint="default" w:ascii="Times New Roman" w:hAnsi="Times New Roman" w:eastAsia="方正仿宋_GBK" w:cs="Times New Roman"/>
                <w:b/>
                <w:bCs/>
                <w:color w:val="auto"/>
                <w:sz w:val="28"/>
                <w:szCs w:val="28"/>
                <w:highlight w:val="none"/>
                <w:lang w:val="en-US" w:eastAsia="zh-CN"/>
              </w:rPr>
              <w:t>符合性</w:t>
            </w:r>
            <w:r>
              <w:rPr>
                <w:rFonts w:hint="default" w:ascii="Times New Roman" w:hAnsi="Times New Roman" w:eastAsia="方正仿宋_GBK" w:cs="Times New Roman"/>
                <w:b/>
                <w:bCs/>
                <w:color w:val="auto"/>
                <w:sz w:val="28"/>
                <w:szCs w:val="28"/>
                <w:highlight w:val="none"/>
              </w:rPr>
              <w:t>评审为不合格。合格投标人不足3家的，不得评标</w:t>
            </w:r>
            <w:r>
              <w:rPr>
                <w:rFonts w:hint="default" w:ascii="Times New Roman" w:hAnsi="Times New Roman" w:eastAsia="方正仿宋_GBK" w:cs="Times New Roman"/>
                <w:b/>
                <w:bCs/>
                <w:color w:val="auto"/>
                <w:sz w:val="28"/>
                <w:szCs w:val="28"/>
                <w:highlight w:val="none"/>
                <w:lang w:eastAsia="zh-CN"/>
              </w:rPr>
              <w:t>。</w:t>
            </w:r>
          </w:p>
        </w:tc>
      </w:tr>
    </w:tbl>
    <w:p w14:paraId="2890F1C8">
      <w:pPr>
        <w:pageBreakBefore w:val="0"/>
        <w:kinsoku/>
        <w:wordWrap/>
        <w:overflowPunct/>
        <w:topLinePunct w:val="0"/>
        <w:bidi w:val="0"/>
        <w:spacing w:line="46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lang w:val="en-US" w:eastAsia="zh-CN"/>
        </w:rPr>
        <w:t>2.</w:t>
      </w:r>
      <w:r>
        <w:rPr>
          <w:rFonts w:hint="default" w:ascii="Times New Roman" w:hAnsi="Times New Roman" w:eastAsia="方正仿宋_GBK" w:cs="Times New Roman"/>
          <w:b/>
          <w:color w:val="auto"/>
          <w:sz w:val="28"/>
          <w:szCs w:val="28"/>
          <w:highlight w:val="none"/>
        </w:rPr>
        <w:t>评标内容及标准（满分为100分）</w:t>
      </w:r>
    </w:p>
    <w:tbl>
      <w:tblPr>
        <w:tblStyle w:val="16"/>
        <w:tblW w:w="9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2"/>
        <w:gridCol w:w="874"/>
        <w:gridCol w:w="7090"/>
      </w:tblGrid>
      <w:tr w14:paraId="101F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Align w:val="center"/>
          </w:tcPr>
          <w:p w14:paraId="7356033B">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序号</w:t>
            </w:r>
          </w:p>
        </w:tc>
        <w:tc>
          <w:tcPr>
            <w:tcW w:w="1222" w:type="dxa"/>
            <w:vAlign w:val="center"/>
          </w:tcPr>
          <w:p w14:paraId="15921560">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评审项目</w:t>
            </w:r>
          </w:p>
        </w:tc>
        <w:tc>
          <w:tcPr>
            <w:tcW w:w="874" w:type="dxa"/>
            <w:vAlign w:val="center"/>
          </w:tcPr>
          <w:p w14:paraId="68D753ED">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分值</w:t>
            </w:r>
          </w:p>
        </w:tc>
        <w:tc>
          <w:tcPr>
            <w:tcW w:w="7090" w:type="dxa"/>
            <w:vAlign w:val="center"/>
          </w:tcPr>
          <w:p w14:paraId="15BF6F2E">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rPr>
              <w:t>评分标准</w:t>
            </w:r>
          </w:p>
        </w:tc>
      </w:tr>
      <w:tr w14:paraId="6878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1" w:type="dxa"/>
            <w:gridSpan w:val="4"/>
            <w:vAlign w:val="center"/>
          </w:tcPr>
          <w:p w14:paraId="2EC9E29A">
            <w:pPr>
              <w:pageBreakBefore w:val="0"/>
              <w:kinsoku/>
              <w:wordWrap/>
              <w:overflowPunct/>
              <w:topLinePunct w:val="0"/>
              <w:bidi w:val="0"/>
              <w:spacing w:line="460" w:lineRule="exact"/>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F1—投标报价</w:t>
            </w:r>
            <w:r>
              <w:rPr>
                <w:rFonts w:hint="default" w:ascii="Times New Roman" w:hAnsi="Times New Roman" w:eastAsia="方正仿宋_GBK" w:cs="Times New Roman"/>
                <w:b/>
                <w:color w:val="auto"/>
                <w:sz w:val="28"/>
                <w:szCs w:val="28"/>
                <w:highlight w:val="none"/>
                <w:lang w:val="en-US" w:eastAsia="zh-CN"/>
              </w:rPr>
              <w:t>评审</w:t>
            </w:r>
            <w:r>
              <w:rPr>
                <w:rFonts w:hint="default" w:ascii="Times New Roman" w:hAnsi="Times New Roman" w:eastAsia="方正仿宋_GBK" w:cs="Times New Roman"/>
                <w:b/>
                <w:color w:val="auto"/>
                <w:sz w:val="28"/>
                <w:szCs w:val="28"/>
                <w:highlight w:val="none"/>
              </w:rPr>
              <w:t>（满分为30分）</w:t>
            </w:r>
          </w:p>
        </w:tc>
      </w:tr>
      <w:tr w14:paraId="656A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705" w:type="dxa"/>
            <w:vAlign w:val="center"/>
          </w:tcPr>
          <w:p w14:paraId="5DD5820B">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1</w:t>
            </w:r>
          </w:p>
        </w:tc>
        <w:tc>
          <w:tcPr>
            <w:tcW w:w="1222" w:type="dxa"/>
            <w:vAlign w:val="center"/>
          </w:tcPr>
          <w:p w14:paraId="51A91333">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投标报价</w:t>
            </w:r>
          </w:p>
        </w:tc>
        <w:tc>
          <w:tcPr>
            <w:tcW w:w="874" w:type="dxa"/>
            <w:vAlign w:val="center"/>
          </w:tcPr>
          <w:p w14:paraId="02DFF961">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满分</w:t>
            </w:r>
            <w:r>
              <w:rPr>
                <w:rFonts w:hint="default" w:ascii="Times New Roman" w:hAnsi="Times New Roman" w:eastAsia="方正仿宋_GBK" w:cs="Times New Roman"/>
                <w:b/>
                <w:bCs/>
                <w:color w:val="auto"/>
                <w:sz w:val="28"/>
                <w:szCs w:val="28"/>
                <w:highlight w:val="none"/>
              </w:rPr>
              <w:t>30分</w:t>
            </w:r>
          </w:p>
        </w:tc>
        <w:tc>
          <w:tcPr>
            <w:tcW w:w="7090" w:type="dxa"/>
            <w:vAlign w:val="center"/>
          </w:tcPr>
          <w:p w14:paraId="4213D498">
            <w:pPr>
              <w:pageBreakBefore w:val="0"/>
              <w:kinsoku/>
              <w:wordWrap/>
              <w:overflowPunct/>
              <w:topLinePunct w:val="0"/>
              <w:bidi w:val="0"/>
              <w:spacing w:line="4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1.评标基准价：满足招标文件要求且投标报价最低的有效投标报价。</w:t>
            </w:r>
          </w:p>
          <w:p w14:paraId="0B1134D1">
            <w:pPr>
              <w:pageBreakBefore w:val="0"/>
              <w:kinsoku/>
              <w:wordWrap/>
              <w:overflowPunct/>
              <w:topLinePunct w:val="0"/>
              <w:bidi w:val="0"/>
              <w:spacing w:line="4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2.得分计算：满足招标文件要求且投标价格最低的有效投标报价，其报价分为满分。其他投标人的报价得分统一按照下列公式计算：</w:t>
            </w:r>
          </w:p>
          <w:p w14:paraId="49A7F079">
            <w:pPr>
              <w:pageBreakBefore w:val="0"/>
              <w:kinsoku/>
              <w:wordWrap/>
              <w:overflowPunct/>
              <w:topLinePunct w:val="0"/>
              <w:bidi w:val="0"/>
              <w:spacing w:line="4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投标报价得分=(评标基准价</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rPr>
              <w:t>投标报价)×30</w:t>
            </w:r>
          </w:p>
          <w:p w14:paraId="14BE5B47">
            <w:pPr>
              <w:pageBreakBefore w:val="0"/>
              <w:kinsoku/>
              <w:wordWrap/>
              <w:overflowPunct/>
              <w:topLinePunct w:val="0"/>
              <w:bidi w:val="0"/>
              <w:spacing w:line="4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项目评审过程中，不得去掉最后报价中的最高报价和最低报价。</w:t>
            </w:r>
          </w:p>
          <w:p w14:paraId="15103521">
            <w:pPr>
              <w:pageBreakBefore w:val="0"/>
              <w:kinsoku/>
              <w:wordWrap/>
              <w:overflowPunct/>
              <w:topLinePunct w:val="0"/>
              <w:bidi w:val="0"/>
              <w:spacing w:line="4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3.得分保留小数点后两位。</w:t>
            </w:r>
          </w:p>
          <w:p w14:paraId="2B4B0CB7">
            <w:pPr>
              <w:pageBreakBefore w:val="0"/>
              <w:kinsoku/>
              <w:wordWrap/>
              <w:overflowPunct/>
              <w:topLinePunct w:val="0"/>
              <w:bidi w:val="0"/>
              <w:spacing w:line="460" w:lineRule="exact"/>
              <w:jc w:val="left"/>
              <w:textAlignment w:val="auto"/>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4A2C243">
            <w:pPr>
              <w:pageBreakBefore w:val="0"/>
              <w:kinsoku/>
              <w:wordWrap/>
              <w:overflowPunct/>
              <w:topLinePunct w:val="0"/>
              <w:bidi w:val="0"/>
              <w:spacing w:line="460" w:lineRule="exact"/>
              <w:jc w:val="left"/>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val="0"/>
                <w:bCs w:val="0"/>
                <w:color w:val="auto"/>
                <w:sz w:val="28"/>
                <w:szCs w:val="28"/>
                <w:highlight w:val="none"/>
              </w:rPr>
              <w:t>本项目为不专门面向中小企业采购的项目，根据《政府采购促进中小企业发展管理办法》（财库〔2020〕46号）</w:t>
            </w:r>
            <w:r>
              <w:rPr>
                <w:rFonts w:hint="default" w:ascii="Times New Roman" w:hAnsi="Times New Roman" w:eastAsia="方正仿宋_GBK" w:cs="Times New Roman"/>
                <w:b w:val="0"/>
                <w:bCs w:val="0"/>
                <w:color w:val="auto"/>
                <w:sz w:val="28"/>
                <w:szCs w:val="28"/>
                <w:highlight w:val="none"/>
                <w:lang w:eastAsia="zh-CN"/>
              </w:rPr>
              <w:t>、</w:t>
            </w:r>
            <w:r>
              <w:rPr>
                <w:rFonts w:hint="default" w:ascii="Times New Roman" w:hAnsi="Times New Roman" w:eastAsia="方正仿宋_GBK" w:cs="Times New Roman"/>
                <w:b w:val="0"/>
                <w:bCs w:val="0"/>
                <w:color w:val="auto"/>
                <w:sz w:val="28"/>
                <w:szCs w:val="28"/>
                <w:highlight w:val="none"/>
              </w:rPr>
              <w:t>《财政部关于进一步加大政府采购支持中小企业力度的通知》（财库〔2022〕19号）执行价格评审优惠的扶持政策,残疾人企业和监狱企业视同为小微企业，小微企业价格扣除优惠比例:10%；监狱企业或残疾人福利性单位属于小型、微型企业的，不重复计算，只进行一次价格扣除。</w:t>
            </w:r>
          </w:p>
        </w:tc>
      </w:tr>
      <w:tr w14:paraId="4907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1" w:type="dxa"/>
            <w:gridSpan w:val="4"/>
            <w:vAlign w:val="center"/>
          </w:tcPr>
          <w:p w14:paraId="6F13F556">
            <w:pPr>
              <w:pageBreakBefore w:val="0"/>
              <w:kinsoku/>
              <w:wordWrap/>
              <w:overflowPunct/>
              <w:topLinePunct w:val="0"/>
              <w:bidi w:val="0"/>
              <w:spacing w:line="460" w:lineRule="exact"/>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F2—技术部分</w:t>
            </w:r>
            <w:r>
              <w:rPr>
                <w:rFonts w:hint="default" w:ascii="Times New Roman" w:hAnsi="Times New Roman" w:eastAsia="方正仿宋_GBK" w:cs="Times New Roman"/>
                <w:b/>
                <w:color w:val="auto"/>
                <w:sz w:val="28"/>
                <w:szCs w:val="28"/>
                <w:highlight w:val="none"/>
                <w:lang w:val="en-US" w:eastAsia="zh-CN"/>
              </w:rPr>
              <w:t>评审</w:t>
            </w:r>
            <w:r>
              <w:rPr>
                <w:rFonts w:hint="default" w:ascii="Times New Roman" w:hAnsi="Times New Roman" w:eastAsia="方正仿宋_GBK" w:cs="Times New Roman"/>
                <w:b/>
                <w:color w:val="auto"/>
                <w:sz w:val="28"/>
                <w:szCs w:val="28"/>
                <w:highlight w:val="none"/>
              </w:rPr>
              <w:t>（满分为5</w:t>
            </w:r>
            <w:r>
              <w:rPr>
                <w:rFonts w:hint="default" w:ascii="Times New Roman" w:hAnsi="Times New Roman" w:eastAsia="方正仿宋_GBK" w:cs="Times New Roman"/>
                <w:b/>
                <w:color w:val="auto"/>
                <w:sz w:val="28"/>
                <w:szCs w:val="28"/>
                <w:highlight w:val="none"/>
                <w:lang w:val="en-US" w:eastAsia="zh-CN"/>
              </w:rPr>
              <w:t>0</w:t>
            </w:r>
            <w:r>
              <w:rPr>
                <w:rFonts w:hint="default" w:ascii="Times New Roman" w:hAnsi="Times New Roman" w:eastAsia="方正仿宋_GBK" w:cs="Times New Roman"/>
                <w:b/>
                <w:color w:val="auto"/>
                <w:sz w:val="28"/>
                <w:szCs w:val="28"/>
                <w:highlight w:val="none"/>
              </w:rPr>
              <w:t>分）</w:t>
            </w:r>
          </w:p>
        </w:tc>
      </w:tr>
      <w:tr w14:paraId="5F68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705" w:type="dxa"/>
            <w:vAlign w:val="center"/>
          </w:tcPr>
          <w:p w14:paraId="6F09A849">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val="en-US" w:eastAsia="zh-CN"/>
              </w:rPr>
              <w:t>1</w:t>
            </w:r>
          </w:p>
        </w:tc>
        <w:tc>
          <w:tcPr>
            <w:tcW w:w="1222" w:type="dxa"/>
            <w:vAlign w:val="center"/>
          </w:tcPr>
          <w:p w14:paraId="585BB85C">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b/>
                <w:bCs/>
                <w:color w:val="auto"/>
                <w:sz w:val="28"/>
                <w:szCs w:val="28"/>
                <w:highlight w:val="none"/>
              </w:rPr>
              <w:t>技术参数</w:t>
            </w:r>
            <w:r>
              <w:rPr>
                <w:rFonts w:hint="default" w:ascii="Times New Roman" w:hAnsi="Times New Roman" w:eastAsia="方正仿宋_GBK" w:cs="Times New Roman"/>
                <w:b/>
                <w:bCs/>
                <w:color w:val="auto"/>
                <w:sz w:val="28"/>
                <w:szCs w:val="28"/>
                <w:highlight w:val="none"/>
                <w:lang w:val="en-US" w:eastAsia="zh-CN"/>
              </w:rPr>
              <w:t>评审</w:t>
            </w:r>
          </w:p>
        </w:tc>
        <w:tc>
          <w:tcPr>
            <w:tcW w:w="874" w:type="dxa"/>
            <w:vAlign w:val="center"/>
          </w:tcPr>
          <w:p w14:paraId="5B0036DA">
            <w:pPr>
              <w:pageBreakBefore w:val="0"/>
              <w:kinsoku/>
              <w:wordWrap/>
              <w:overflowPunct/>
              <w:topLinePunct w:val="0"/>
              <w:bidi w:val="0"/>
              <w:spacing w:line="460" w:lineRule="exact"/>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
                <w:color w:val="auto"/>
                <w:sz w:val="28"/>
                <w:szCs w:val="28"/>
                <w:highlight w:val="none"/>
                <w:lang w:val="en-US" w:eastAsia="zh-CN"/>
              </w:rPr>
              <w:t>满分50</w:t>
            </w:r>
            <w:r>
              <w:rPr>
                <w:rFonts w:hint="default" w:ascii="Times New Roman" w:hAnsi="Times New Roman" w:eastAsia="方正仿宋_GBK" w:cs="Times New Roman"/>
                <w:b/>
                <w:color w:val="auto"/>
                <w:sz w:val="28"/>
                <w:szCs w:val="28"/>
                <w:highlight w:val="none"/>
              </w:rPr>
              <w:t>分</w:t>
            </w:r>
          </w:p>
        </w:tc>
        <w:tc>
          <w:tcPr>
            <w:tcW w:w="7090" w:type="dxa"/>
            <w:vAlign w:val="center"/>
          </w:tcPr>
          <w:p w14:paraId="05F706F3">
            <w:pPr>
              <w:pageBreakBefore w:val="0"/>
              <w:kinsoku/>
              <w:wordWrap/>
              <w:overflowPunct/>
              <w:topLinePunct w:val="0"/>
              <w:bidi w:val="0"/>
              <w:spacing w:line="460" w:lineRule="exact"/>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根据投标人所提供产品技术参数对招标文件第</w:t>
            </w:r>
            <w:r>
              <w:rPr>
                <w:rFonts w:hint="default" w:ascii="Times New Roman" w:hAnsi="Times New Roman" w:eastAsia="方正仿宋_GBK" w:cs="Times New Roman"/>
                <w:b/>
                <w:color w:val="auto"/>
                <w:sz w:val="28"/>
                <w:szCs w:val="28"/>
                <w:highlight w:val="none"/>
                <w:lang w:val="en-US" w:eastAsia="zh-CN"/>
              </w:rPr>
              <w:t>六</w:t>
            </w:r>
            <w:r>
              <w:rPr>
                <w:rFonts w:hint="default" w:ascii="Times New Roman" w:hAnsi="Times New Roman" w:eastAsia="方正仿宋_GBK" w:cs="Times New Roman"/>
                <w:b/>
                <w:color w:val="auto"/>
                <w:sz w:val="28"/>
                <w:szCs w:val="28"/>
                <w:highlight w:val="none"/>
              </w:rPr>
              <w:t>章《采购需求</w:t>
            </w:r>
            <w:r>
              <w:rPr>
                <w:rFonts w:hint="default" w:ascii="Times New Roman" w:hAnsi="Times New Roman" w:eastAsia="方正仿宋_GBK" w:cs="Times New Roman"/>
                <w:b/>
                <w:color w:val="auto"/>
                <w:sz w:val="28"/>
                <w:szCs w:val="28"/>
                <w:highlight w:val="none"/>
                <w:lang w:val="en-US" w:eastAsia="zh-CN"/>
              </w:rPr>
              <w:t>及要求</w:t>
            </w:r>
            <w:r>
              <w:rPr>
                <w:rFonts w:hint="default" w:ascii="Times New Roman" w:hAnsi="Times New Roman" w:eastAsia="方正仿宋_GBK" w:cs="Times New Roman"/>
                <w:b/>
                <w:color w:val="auto"/>
                <w:sz w:val="28"/>
                <w:szCs w:val="28"/>
                <w:highlight w:val="none"/>
              </w:rPr>
              <w:t>》中</w:t>
            </w:r>
            <w:r>
              <w:rPr>
                <w:rFonts w:hint="default" w:ascii="Times New Roman" w:hAnsi="Times New Roman" w:eastAsia="方正仿宋_GBK" w:cs="Times New Roman"/>
                <w:b/>
                <w:color w:val="auto"/>
                <w:sz w:val="28"/>
                <w:szCs w:val="28"/>
                <w:highlight w:val="none"/>
                <w:lang w:val="en-US" w:eastAsia="zh-CN"/>
              </w:rPr>
              <w:t>技术</w:t>
            </w:r>
            <w:r>
              <w:rPr>
                <w:rFonts w:hint="default" w:ascii="Times New Roman" w:hAnsi="Times New Roman" w:eastAsia="方正仿宋_GBK" w:cs="Times New Roman"/>
                <w:b/>
                <w:color w:val="auto"/>
                <w:sz w:val="28"/>
                <w:szCs w:val="28"/>
                <w:highlight w:val="none"/>
              </w:rPr>
              <w:t>参数要求的响应程度打分：</w:t>
            </w:r>
          </w:p>
          <w:p w14:paraId="2DEE6798">
            <w:pPr>
              <w:pageBreakBefore w:val="0"/>
              <w:numPr>
                <w:ilvl w:val="0"/>
                <w:numId w:val="2"/>
              </w:numPr>
              <w:kinsoku/>
              <w:wordWrap/>
              <w:overflowPunct/>
              <w:topLinePunct w:val="0"/>
              <w:bidi w:val="0"/>
              <w:spacing w:line="460" w:lineRule="exact"/>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投标人所提供产品技术参数全部满足（或优于）招标</w:t>
            </w:r>
            <w:r>
              <w:rPr>
                <w:rFonts w:hint="default" w:ascii="Times New Roman" w:hAnsi="Times New Roman" w:eastAsia="方正仿宋_GBK" w:cs="Times New Roman"/>
                <w:bCs/>
                <w:color w:val="auto"/>
                <w:sz w:val="28"/>
                <w:szCs w:val="28"/>
                <w:highlight w:val="none"/>
                <w:lang w:val="en-US" w:eastAsia="zh-CN"/>
              </w:rPr>
              <w:t>文件</w:t>
            </w:r>
            <w:r>
              <w:rPr>
                <w:rFonts w:hint="default" w:ascii="Times New Roman" w:hAnsi="Times New Roman" w:eastAsia="方正仿宋_GBK" w:cs="Times New Roman"/>
                <w:bCs/>
                <w:color w:val="auto"/>
                <w:sz w:val="28"/>
                <w:szCs w:val="28"/>
                <w:highlight w:val="none"/>
              </w:rPr>
              <w:t>要求</w:t>
            </w:r>
            <w:r>
              <w:rPr>
                <w:rFonts w:hint="default" w:ascii="Times New Roman" w:hAnsi="Times New Roman" w:eastAsia="方正仿宋_GBK" w:cs="Times New Roman"/>
                <w:bCs/>
                <w:color w:val="auto"/>
                <w:sz w:val="28"/>
                <w:szCs w:val="28"/>
                <w:highlight w:val="none"/>
                <w:lang w:val="en-US" w:eastAsia="zh-CN"/>
              </w:rPr>
              <w:t>的，</w:t>
            </w:r>
            <w:r>
              <w:rPr>
                <w:rFonts w:hint="default" w:ascii="Times New Roman" w:hAnsi="Times New Roman" w:eastAsia="方正仿宋_GBK" w:cs="Times New Roman"/>
                <w:bCs/>
                <w:color w:val="auto"/>
                <w:sz w:val="28"/>
                <w:szCs w:val="28"/>
                <w:highlight w:val="none"/>
              </w:rPr>
              <w:t>得满分</w:t>
            </w:r>
            <w:r>
              <w:rPr>
                <w:rFonts w:hint="default" w:ascii="Times New Roman" w:hAnsi="Times New Roman" w:eastAsia="方正仿宋_GBK" w:cs="Times New Roman"/>
                <w:bCs/>
                <w:color w:val="auto"/>
                <w:sz w:val="28"/>
                <w:szCs w:val="28"/>
                <w:highlight w:val="none"/>
                <w:lang w:val="en-US" w:eastAsia="zh-CN"/>
              </w:rPr>
              <w:t>50分</w:t>
            </w:r>
            <w:r>
              <w:rPr>
                <w:rFonts w:hint="default" w:ascii="Times New Roman" w:hAnsi="Times New Roman" w:eastAsia="方正仿宋_GBK" w:cs="Times New Roman"/>
                <w:bCs/>
                <w:color w:val="auto"/>
                <w:sz w:val="28"/>
                <w:szCs w:val="28"/>
                <w:highlight w:val="none"/>
              </w:rPr>
              <w:t>；</w:t>
            </w:r>
          </w:p>
          <w:p w14:paraId="54091EFC">
            <w:pPr>
              <w:pageBreakBefore w:val="0"/>
              <w:kinsoku/>
              <w:wordWrap/>
              <w:overflowPunct/>
              <w:topLinePunct w:val="0"/>
              <w:bidi w:val="0"/>
              <w:spacing w:line="460" w:lineRule="exact"/>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w:t>
            </w:r>
            <w:r>
              <w:rPr>
                <w:rFonts w:hint="default" w:ascii="Times New Roman" w:hAnsi="Times New Roman" w:eastAsia="方正仿宋_GBK" w:cs="Times New Roman"/>
                <w:bCs/>
                <w:color w:val="auto"/>
                <w:sz w:val="28"/>
                <w:szCs w:val="28"/>
                <w:highlight w:val="none"/>
                <w:lang w:eastAsia="zh-CN"/>
              </w:rPr>
              <w:t>2</w:t>
            </w:r>
            <w:r>
              <w:rPr>
                <w:rFonts w:hint="default" w:ascii="Times New Roman" w:hAnsi="Times New Roman" w:eastAsia="方正仿宋_GBK" w:cs="Times New Roman"/>
                <w:bCs/>
                <w:color w:val="auto"/>
                <w:sz w:val="28"/>
                <w:szCs w:val="28"/>
                <w:highlight w:val="none"/>
              </w:rPr>
              <w:t>）</w:t>
            </w:r>
            <w:r>
              <w:rPr>
                <w:rFonts w:hint="default" w:ascii="Times New Roman" w:hAnsi="Times New Roman" w:eastAsia="方正仿宋_GBK" w:cs="Times New Roman"/>
                <w:bCs/>
                <w:color w:val="auto"/>
                <w:sz w:val="28"/>
                <w:szCs w:val="28"/>
                <w:highlight w:val="none"/>
                <w:lang w:val="en-US" w:eastAsia="zh-CN"/>
              </w:rPr>
              <w:t>本项目共计</w:t>
            </w:r>
            <w:r>
              <w:rPr>
                <w:rFonts w:hint="eastAsia" w:ascii="Times New Roman" w:hAnsi="Times New Roman" w:eastAsia="方正仿宋_GBK" w:cs="Times New Roman"/>
                <w:bCs/>
                <w:color w:val="auto"/>
                <w:sz w:val="28"/>
                <w:szCs w:val="28"/>
                <w:highlight w:val="none"/>
                <w:lang w:val="en-US" w:eastAsia="zh-CN"/>
              </w:rPr>
              <w:t>43</w:t>
            </w:r>
            <w:r>
              <w:rPr>
                <w:rFonts w:hint="default" w:ascii="Times New Roman" w:hAnsi="Times New Roman" w:eastAsia="方正仿宋_GBK" w:cs="Times New Roman"/>
                <w:bCs/>
                <w:color w:val="auto"/>
                <w:sz w:val="28"/>
                <w:szCs w:val="28"/>
                <w:highlight w:val="none"/>
                <w:lang w:val="en-US" w:eastAsia="zh-CN"/>
              </w:rPr>
              <w:t>项</w:t>
            </w:r>
            <w:r>
              <w:rPr>
                <w:rFonts w:hint="default" w:ascii="Times New Roman" w:hAnsi="Times New Roman" w:eastAsia="方正仿宋_GBK" w:cs="Times New Roman"/>
                <w:bCs/>
                <w:color w:val="auto"/>
                <w:sz w:val="28"/>
                <w:szCs w:val="28"/>
                <w:highlight w:val="none"/>
              </w:rPr>
              <w:t>“★”</w:t>
            </w:r>
            <w:r>
              <w:rPr>
                <w:rFonts w:hint="default" w:ascii="Times New Roman" w:hAnsi="Times New Roman" w:eastAsia="方正仿宋_GBK" w:cs="Times New Roman"/>
                <w:bCs/>
                <w:color w:val="auto"/>
                <w:sz w:val="28"/>
                <w:szCs w:val="28"/>
                <w:highlight w:val="none"/>
                <w:lang w:val="en-US" w:eastAsia="zh-CN"/>
              </w:rPr>
              <w:t>技术参数，投标人每出现一项</w:t>
            </w:r>
            <w:r>
              <w:rPr>
                <w:rFonts w:hint="default" w:ascii="Times New Roman" w:hAnsi="Times New Roman" w:eastAsia="方正仿宋_GBK" w:cs="Times New Roman"/>
                <w:bCs/>
                <w:color w:val="auto"/>
                <w:sz w:val="28"/>
                <w:szCs w:val="28"/>
                <w:highlight w:val="none"/>
              </w:rPr>
              <w:t>“★”</w:t>
            </w:r>
            <w:r>
              <w:rPr>
                <w:rFonts w:hint="default" w:ascii="Times New Roman" w:hAnsi="Times New Roman" w:eastAsia="方正仿宋_GBK" w:cs="Times New Roman"/>
                <w:bCs/>
                <w:color w:val="auto"/>
                <w:sz w:val="28"/>
                <w:szCs w:val="28"/>
                <w:highlight w:val="none"/>
                <w:lang w:val="en-US" w:eastAsia="zh-CN"/>
              </w:rPr>
              <w:t>技术参数不满足招标文件的扣</w:t>
            </w:r>
            <w:r>
              <w:rPr>
                <w:rFonts w:hint="eastAsia" w:ascii="Times New Roman" w:hAnsi="Times New Roman" w:eastAsia="方正仿宋_GBK" w:cs="Times New Roman"/>
                <w:bCs/>
                <w:color w:val="auto"/>
                <w:sz w:val="28"/>
                <w:szCs w:val="28"/>
                <w:highlight w:val="none"/>
                <w:lang w:val="en-US" w:eastAsia="zh-CN"/>
              </w:rPr>
              <w:t>1</w:t>
            </w:r>
            <w:r>
              <w:rPr>
                <w:rFonts w:hint="default" w:ascii="Times New Roman" w:hAnsi="Times New Roman" w:eastAsia="方正仿宋_GBK" w:cs="Times New Roman"/>
                <w:bCs/>
                <w:color w:val="auto"/>
                <w:sz w:val="28"/>
                <w:szCs w:val="28"/>
                <w:highlight w:val="none"/>
                <w:lang w:val="en-US" w:eastAsia="zh-CN"/>
              </w:rPr>
              <w:t>分；共计</w:t>
            </w:r>
            <w:r>
              <w:rPr>
                <w:rFonts w:hint="eastAsia" w:ascii="Times New Roman" w:hAnsi="Times New Roman" w:eastAsia="方正仿宋_GBK" w:cs="Times New Roman"/>
                <w:bCs/>
                <w:color w:val="auto"/>
                <w:sz w:val="28"/>
                <w:szCs w:val="28"/>
                <w:highlight w:val="none"/>
                <w:lang w:val="en-US" w:eastAsia="zh-CN"/>
              </w:rPr>
              <w:t>164</w:t>
            </w:r>
            <w:r>
              <w:rPr>
                <w:rFonts w:hint="default" w:ascii="Times New Roman" w:hAnsi="Times New Roman" w:eastAsia="方正仿宋_GBK" w:cs="Times New Roman"/>
                <w:bCs/>
                <w:color w:val="auto"/>
                <w:sz w:val="28"/>
                <w:szCs w:val="28"/>
                <w:highlight w:val="none"/>
                <w:lang w:val="en-US" w:eastAsia="zh-CN"/>
              </w:rPr>
              <w:t>项一般参数，投标人每出现一项一般技术参数不满足招标文件的扣</w:t>
            </w:r>
            <w:r>
              <w:rPr>
                <w:rFonts w:hint="eastAsia" w:ascii="Times New Roman" w:hAnsi="Times New Roman" w:eastAsia="方正仿宋_GBK" w:cs="Times New Roman"/>
                <w:bCs/>
                <w:color w:val="auto"/>
                <w:sz w:val="28"/>
                <w:szCs w:val="28"/>
                <w:highlight w:val="none"/>
                <w:lang w:val="en-US" w:eastAsia="zh-CN"/>
              </w:rPr>
              <w:t>0.5</w:t>
            </w:r>
            <w:r>
              <w:rPr>
                <w:rFonts w:hint="default" w:ascii="Times New Roman" w:hAnsi="Times New Roman" w:eastAsia="方正仿宋_GBK" w:cs="Times New Roman"/>
                <w:bCs/>
                <w:color w:val="auto"/>
                <w:sz w:val="28"/>
                <w:szCs w:val="28"/>
                <w:highlight w:val="none"/>
                <w:lang w:val="en-US" w:eastAsia="zh-CN"/>
              </w:rPr>
              <w:t>分，扣完为止</w:t>
            </w:r>
            <w:r>
              <w:rPr>
                <w:rFonts w:hint="default" w:ascii="Times New Roman" w:hAnsi="Times New Roman" w:eastAsia="方正仿宋_GBK" w:cs="Times New Roman"/>
                <w:bCs/>
                <w:color w:val="auto"/>
                <w:sz w:val="28"/>
                <w:szCs w:val="28"/>
                <w:highlight w:val="none"/>
              </w:rPr>
              <w:t>。</w:t>
            </w:r>
          </w:p>
          <w:p w14:paraId="35BFE060">
            <w:pPr>
              <w:pageBreakBefore w:val="0"/>
              <w:kinsoku/>
              <w:wordWrap/>
              <w:overflowPunct/>
              <w:topLinePunct w:val="0"/>
              <w:bidi w:val="0"/>
              <w:spacing w:line="460" w:lineRule="exact"/>
              <w:textAlignment w:val="auto"/>
              <w:rPr>
                <w:rFonts w:hint="default" w:ascii="Times New Roman" w:hAnsi="Times New Roman" w:eastAsia="方正仿宋_GBK" w:cs="Times New Roman"/>
                <w:bCs/>
                <w:color w:val="auto"/>
                <w:sz w:val="28"/>
                <w:szCs w:val="28"/>
                <w:highlight w:val="none"/>
                <w:lang w:eastAsia="zh-Hans"/>
              </w:rPr>
            </w:pPr>
            <w:r>
              <w:rPr>
                <w:rFonts w:hint="default" w:ascii="Times New Roman" w:hAnsi="Times New Roman" w:eastAsia="方正仿宋_GBK" w:cs="Times New Roman"/>
                <w:bCs/>
                <w:color w:val="auto"/>
                <w:sz w:val="28"/>
                <w:szCs w:val="28"/>
                <w:highlight w:val="none"/>
                <w:lang w:val="en-US" w:eastAsia="zh-CN"/>
              </w:rPr>
              <w:t>注：招标文件第六章《采购需求及要求》二、技术参数要求中，标注“</w:t>
            </w:r>
            <w:r>
              <w:rPr>
                <w:rFonts w:hint="default" w:ascii="Times New Roman" w:hAnsi="Times New Roman" w:eastAsia="方正仿宋_GBK" w:cs="Times New Roman"/>
                <w:bCs/>
                <w:color w:val="auto"/>
                <w:sz w:val="28"/>
                <w:szCs w:val="28"/>
                <w:highlight w:val="none"/>
              </w:rPr>
              <w:t>★</w:t>
            </w:r>
            <w:r>
              <w:rPr>
                <w:rFonts w:hint="default" w:ascii="Times New Roman" w:hAnsi="Times New Roman" w:eastAsia="方正仿宋_GBK" w:cs="Times New Roman"/>
                <w:bCs/>
                <w:color w:val="auto"/>
                <w:sz w:val="28"/>
                <w:szCs w:val="28"/>
                <w:highlight w:val="none"/>
                <w:lang w:val="en-US" w:eastAsia="zh-CN"/>
              </w:rPr>
              <w:t>”号的所有技术参数必须提供最新技术支持资料支持技术条款偏离表应答（包括提供货物、工程或者服务的技术白皮书或检测报告或图纸或印刷宣传彩页或性能参数说明等，不接受非生产制造商自行印刷、打印或者手写的技术支持资料，凡不符合上述要求的，视为无效技术支持资料。如招标文件第六章《采购需求及要求》有特殊要求，以第六章《采购需求及要求》要求为准。），若投标文件中技术支持资料参数与技术条款偏离表应答不符或无支持资料应答，而投标人又未在投标文件中作出说明和解释的，评标委员会在评审时可以视为不响应该条技术条款的规定。投标人</w:t>
            </w:r>
            <w:r>
              <w:rPr>
                <w:rFonts w:hint="default" w:ascii="Times New Roman" w:hAnsi="Times New Roman" w:eastAsia="方正仿宋_GBK" w:cs="Times New Roman"/>
                <w:b w:val="0"/>
                <w:bCs/>
                <w:color w:val="auto"/>
                <w:sz w:val="28"/>
                <w:szCs w:val="28"/>
                <w:highlight w:val="none"/>
                <w:lang w:val="en-US" w:eastAsia="zh-CN"/>
              </w:rPr>
              <w:t>应在技术规格偏离表中填写技术支持资料索引（页码及条目号等）。</w:t>
            </w:r>
          </w:p>
        </w:tc>
      </w:tr>
      <w:tr w14:paraId="40EE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891" w:type="dxa"/>
            <w:gridSpan w:val="4"/>
            <w:vAlign w:val="center"/>
          </w:tcPr>
          <w:p w14:paraId="537D9D25">
            <w:pPr>
              <w:pageBreakBefore w:val="0"/>
              <w:kinsoku/>
              <w:wordWrap/>
              <w:overflowPunct/>
              <w:topLinePunct w:val="0"/>
              <w:bidi w:val="0"/>
              <w:spacing w:line="460" w:lineRule="exact"/>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F3—商务部分评分（满分为</w:t>
            </w:r>
            <w:r>
              <w:rPr>
                <w:rFonts w:hint="default" w:ascii="Times New Roman" w:hAnsi="Times New Roman" w:eastAsia="方正仿宋_GBK" w:cs="Times New Roman"/>
                <w:b/>
                <w:color w:val="auto"/>
                <w:sz w:val="28"/>
                <w:szCs w:val="28"/>
                <w:highlight w:val="none"/>
                <w:lang w:val="en-US" w:eastAsia="zh-CN"/>
              </w:rPr>
              <w:t>20</w:t>
            </w:r>
            <w:r>
              <w:rPr>
                <w:rFonts w:hint="default" w:ascii="Times New Roman" w:hAnsi="Times New Roman" w:eastAsia="方正仿宋_GBK" w:cs="Times New Roman"/>
                <w:b/>
                <w:color w:val="auto"/>
                <w:sz w:val="28"/>
                <w:szCs w:val="28"/>
                <w:highlight w:val="none"/>
              </w:rPr>
              <w:t>分）</w:t>
            </w:r>
          </w:p>
        </w:tc>
      </w:tr>
      <w:tr w14:paraId="19F1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5" w:type="dxa"/>
            <w:vAlign w:val="center"/>
          </w:tcPr>
          <w:p w14:paraId="6B8E2E97">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1</w:t>
            </w:r>
          </w:p>
        </w:tc>
        <w:tc>
          <w:tcPr>
            <w:tcW w:w="1222" w:type="dxa"/>
            <w:vAlign w:val="center"/>
          </w:tcPr>
          <w:p w14:paraId="259145DE">
            <w:pPr>
              <w:pageBreakBefore w:val="0"/>
              <w:kinsoku/>
              <w:wordWrap/>
              <w:overflowPunct/>
              <w:topLinePunct w:val="0"/>
              <w:bidi w:val="0"/>
              <w:spacing w:line="460" w:lineRule="exact"/>
              <w:textAlignment w:val="auto"/>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产品质量承诺及保证措施</w:t>
            </w:r>
            <w:r>
              <w:rPr>
                <w:rFonts w:hint="default" w:ascii="Times New Roman" w:hAnsi="Times New Roman" w:eastAsia="方正仿宋_GBK" w:cs="Times New Roman"/>
                <w:color w:val="auto"/>
                <w:sz w:val="28"/>
                <w:szCs w:val="28"/>
                <w:highlight w:val="none"/>
                <w:lang w:val="en-US" w:eastAsia="zh-CN"/>
              </w:rPr>
              <w:t>评审</w:t>
            </w:r>
          </w:p>
        </w:tc>
        <w:tc>
          <w:tcPr>
            <w:tcW w:w="874" w:type="dxa"/>
            <w:vAlign w:val="center"/>
          </w:tcPr>
          <w:p w14:paraId="7F013B2F">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满分3分</w:t>
            </w:r>
          </w:p>
        </w:tc>
        <w:tc>
          <w:tcPr>
            <w:tcW w:w="7090" w:type="dxa"/>
          </w:tcPr>
          <w:p w14:paraId="13010A1A">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1</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第一个档次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3</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rPr>
              <w:t>质量保证及承诺编制详细具体、内容完整，有相对应的详细具体的质量保障措施，且针对性强、可行性高，还提供了相对应的如若出现质量问题的详细的惩罚方案，完全满足</w:t>
            </w:r>
            <w:r>
              <w:rPr>
                <w:rFonts w:hint="default" w:ascii="Times New Roman" w:hAnsi="Times New Roman" w:eastAsia="方正仿宋_GBK" w:cs="Times New Roman"/>
                <w:color w:val="auto"/>
                <w:sz w:val="28"/>
                <w:szCs w:val="28"/>
                <w:highlight w:val="none"/>
                <w:lang w:val="en-US" w:eastAsia="zh-CN"/>
              </w:rPr>
              <w:t>招标文件</w:t>
            </w:r>
            <w:r>
              <w:rPr>
                <w:rFonts w:hint="default" w:ascii="Times New Roman" w:hAnsi="Times New Roman" w:eastAsia="方正仿宋_GBK" w:cs="Times New Roman"/>
                <w:color w:val="auto"/>
                <w:sz w:val="28"/>
                <w:szCs w:val="28"/>
                <w:highlight w:val="none"/>
              </w:rPr>
              <w:t>要求；</w:t>
            </w:r>
          </w:p>
          <w:p w14:paraId="243876EC">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2</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第二个档次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2</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rPr>
              <w:t>质量保证及承诺和相对应的质量保障措施、提供的如出现质量问题的惩罚方案内容有欠缺，基本满足</w:t>
            </w:r>
            <w:r>
              <w:rPr>
                <w:rFonts w:hint="default" w:ascii="Times New Roman" w:hAnsi="Times New Roman" w:eastAsia="方正仿宋_GBK" w:cs="Times New Roman"/>
                <w:color w:val="auto"/>
                <w:sz w:val="28"/>
                <w:szCs w:val="28"/>
                <w:highlight w:val="none"/>
                <w:lang w:val="en-US" w:eastAsia="zh-CN"/>
              </w:rPr>
              <w:t>招标文件</w:t>
            </w:r>
            <w:r>
              <w:rPr>
                <w:rFonts w:hint="default" w:ascii="Times New Roman" w:hAnsi="Times New Roman" w:eastAsia="方正仿宋_GBK" w:cs="Times New Roman"/>
                <w:color w:val="auto"/>
                <w:sz w:val="28"/>
                <w:szCs w:val="28"/>
                <w:highlight w:val="none"/>
              </w:rPr>
              <w:t>要求；</w:t>
            </w:r>
          </w:p>
          <w:p w14:paraId="0F6B5167">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3</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第三个档次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1</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rPr>
              <w:t>质量保证及承诺不具体不完整，质量保障措施简单没有针对性和可行性，未提供如出现质量问题的惩罚方案或提供的惩罚方案简单无针对性；</w:t>
            </w:r>
          </w:p>
          <w:p w14:paraId="63BBAD3F">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jc w:val="left"/>
              <w:textAlignment w:val="auto"/>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4</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第四个档次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0</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rPr>
              <w:t>：未提供质量保证承诺，或未提供质量保障措施和出现质量问题的惩罚方案的不得分。</w:t>
            </w:r>
          </w:p>
        </w:tc>
      </w:tr>
      <w:tr w14:paraId="56F8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705" w:type="dxa"/>
            <w:vAlign w:val="center"/>
          </w:tcPr>
          <w:p w14:paraId="05A5F3D3">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2</w:t>
            </w:r>
          </w:p>
        </w:tc>
        <w:tc>
          <w:tcPr>
            <w:tcW w:w="1222" w:type="dxa"/>
            <w:vAlign w:val="center"/>
          </w:tcPr>
          <w:p w14:paraId="668EA067">
            <w:pPr>
              <w:pageBreakBefore w:val="0"/>
              <w:kinsoku/>
              <w:wordWrap/>
              <w:overflowPunct/>
              <w:topLinePunct w:val="0"/>
              <w:bidi w:val="0"/>
              <w:spacing w:line="46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rPr>
              <w:t>交货进度安排及</w:t>
            </w:r>
            <w:r>
              <w:rPr>
                <w:rFonts w:hint="default" w:ascii="Times New Roman" w:hAnsi="Times New Roman" w:eastAsia="方正仿宋_GBK" w:cs="Times New Roman"/>
                <w:color w:val="auto"/>
                <w:sz w:val="28"/>
                <w:szCs w:val="28"/>
                <w:highlight w:val="none"/>
                <w:lang w:val="en-US" w:eastAsia="zh-CN"/>
              </w:rPr>
              <w:t>培训计划评审</w:t>
            </w:r>
          </w:p>
        </w:tc>
        <w:tc>
          <w:tcPr>
            <w:tcW w:w="874" w:type="dxa"/>
            <w:vAlign w:val="center"/>
          </w:tcPr>
          <w:p w14:paraId="72D1F001">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满分4分</w:t>
            </w:r>
          </w:p>
        </w:tc>
        <w:tc>
          <w:tcPr>
            <w:tcW w:w="7090" w:type="dxa"/>
          </w:tcPr>
          <w:p w14:paraId="521D0823">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1</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第一档次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4</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所有设备供货进度、</w:t>
            </w:r>
            <w:r>
              <w:rPr>
                <w:rFonts w:hint="default" w:ascii="Times New Roman" w:hAnsi="Times New Roman" w:eastAsia="方正仿宋_GBK" w:cs="Times New Roman"/>
                <w:color w:val="auto"/>
                <w:sz w:val="28"/>
                <w:szCs w:val="28"/>
                <w:highlight w:val="none"/>
              </w:rPr>
              <w:t>安装</w:t>
            </w:r>
            <w:r>
              <w:rPr>
                <w:rFonts w:hint="default" w:ascii="Times New Roman" w:hAnsi="Times New Roman" w:eastAsia="方正仿宋_GBK" w:cs="Times New Roman"/>
                <w:color w:val="auto"/>
                <w:sz w:val="28"/>
                <w:szCs w:val="28"/>
                <w:highlight w:val="none"/>
                <w:lang w:val="en-US" w:eastAsia="zh-CN"/>
              </w:rPr>
              <w:t>过程</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培训内容及计划</w:t>
            </w:r>
            <w:r>
              <w:rPr>
                <w:rFonts w:hint="default" w:ascii="Times New Roman" w:hAnsi="Times New Roman" w:eastAsia="方正仿宋_GBK" w:cs="Times New Roman"/>
                <w:color w:val="auto"/>
                <w:sz w:val="28"/>
                <w:szCs w:val="28"/>
                <w:highlight w:val="none"/>
              </w:rPr>
              <w:t>，内容详细、针对性</w:t>
            </w:r>
            <w:r>
              <w:rPr>
                <w:rFonts w:hint="default" w:ascii="Times New Roman" w:hAnsi="Times New Roman" w:eastAsia="方正仿宋_GBK" w:cs="Times New Roman"/>
                <w:color w:val="auto"/>
                <w:sz w:val="28"/>
                <w:szCs w:val="28"/>
                <w:highlight w:val="none"/>
                <w:lang w:val="en-US" w:eastAsia="zh-CN"/>
              </w:rPr>
              <w:t>较</w:t>
            </w:r>
            <w:r>
              <w:rPr>
                <w:rFonts w:hint="default" w:ascii="Times New Roman" w:hAnsi="Times New Roman" w:eastAsia="方正仿宋_GBK" w:cs="Times New Roman"/>
                <w:color w:val="auto"/>
                <w:sz w:val="28"/>
                <w:szCs w:val="28"/>
                <w:highlight w:val="none"/>
              </w:rPr>
              <w:t>强</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完全满足招标文件要求</w:t>
            </w:r>
            <w:r>
              <w:rPr>
                <w:rFonts w:hint="default" w:ascii="Times New Roman" w:hAnsi="Times New Roman" w:eastAsia="方正仿宋_GBK" w:cs="Times New Roman"/>
                <w:color w:val="auto"/>
                <w:sz w:val="28"/>
                <w:szCs w:val="28"/>
                <w:highlight w:val="none"/>
              </w:rPr>
              <w:t>；</w:t>
            </w:r>
          </w:p>
          <w:p w14:paraId="7DCD4003">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2</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第二档次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2</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所有设备供货进度、</w:t>
            </w:r>
            <w:r>
              <w:rPr>
                <w:rFonts w:hint="default" w:ascii="Times New Roman" w:hAnsi="Times New Roman" w:eastAsia="方正仿宋_GBK" w:cs="Times New Roman"/>
                <w:color w:val="auto"/>
                <w:sz w:val="28"/>
                <w:szCs w:val="28"/>
                <w:highlight w:val="none"/>
              </w:rPr>
              <w:t>安装</w:t>
            </w:r>
            <w:r>
              <w:rPr>
                <w:rFonts w:hint="default" w:ascii="Times New Roman" w:hAnsi="Times New Roman" w:eastAsia="方正仿宋_GBK" w:cs="Times New Roman"/>
                <w:color w:val="auto"/>
                <w:sz w:val="28"/>
                <w:szCs w:val="28"/>
                <w:highlight w:val="none"/>
                <w:lang w:val="en-US" w:eastAsia="zh-CN"/>
              </w:rPr>
              <w:t>过程</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培训内容及计划，</w:t>
            </w:r>
            <w:r>
              <w:rPr>
                <w:rFonts w:hint="default" w:ascii="Times New Roman" w:hAnsi="Times New Roman" w:eastAsia="方正仿宋_GBK" w:cs="Times New Roman"/>
                <w:color w:val="auto"/>
                <w:sz w:val="28"/>
                <w:szCs w:val="28"/>
                <w:highlight w:val="none"/>
              </w:rPr>
              <w:t>内容</w:t>
            </w:r>
            <w:r>
              <w:rPr>
                <w:rFonts w:hint="default" w:ascii="Times New Roman" w:hAnsi="Times New Roman" w:eastAsia="方正仿宋_GBK" w:cs="Times New Roman"/>
                <w:color w:val="auto"/>
                <w:sz w:val="28"/>
                <w:szCs w:val="28"/>
                <w:highlight w:val="none"/>
                <w:lang w:val="en-US" w:eastAsia="zh-CN"/>
              </w:rPr>
              <w:t>基本</w:t>
            </w:r>
            <w:r>
              <w:rPr>
                <w:rFonts w:hint="default" w:ascii="Times New Roman" w:hAnsi="Times New Roman" w:eastAsia="方正仿宋_GBK" w:cs="Times New Roman"/>
                <w:color w:val="auto"/>
                <w:sz w:val="28"/>
                <w:szCs w:val="28"/>
                <w:highlight w:val="none"/>
              </w:rPr>
              <w:t>完整、针对</w:t>
            </w:r>
            <w:r>
              <w:rPr>
                <w:rFonts w:hint="default" w:ascii="Times New Roman" w:hAnsi="Times New Roman" w:eastAsia="方正仿宋_GBK" w:cs="Times New Roman"/>
                <w:color w:val="auto"/>
                <w:sz w:val="28"/>
                <w:szCs w:val="28"/>
                <w:highlight w:val="none"/>
                <w:lang w:val="en-US" w:eastAsia="zh-CN"/>
              </w:rPr>
              <w:t>性</w:t>
            </w:r>
            <w:r>
              <w:rPr>
                <w:rFonts w:hint="default" w:ascii="Times New Roman" w:hAnsi="Times New Roman" w:eastAsia="方正仿宋_GBK" w:cs="Times New Roman"/>
                <w:color w:val="auto"/>
                <w:sz w:val="28"/>
                <w:szCs w:val="28"/>
                <w:highlight w:val="none"/>
              </w:rPr>
              <w:t>一般</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基本满足招标文件要求；</w:t>
            </w:r>
          </w:p>
          <w:p w14:paraId="0A8BFB5C">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3</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第三档次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1</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所有设备供货进度、</w:t>
            </w:r>
            <w:r>
              <w:rPr>
                <w:rFonts w:hint="default" w:ascii="Times New Roman" w:hAnsi="Times New Roman" w:eastAsia="方正仿宋_GBK" w:cs="Times New Roman"/>
                <w:color w:val="auto"/>
                <w:sz w:val="28"/>
                <w:szCs w:val="28"/>
                <w:highlight w:val="none"/>
              </w:rPr>
              <w:t>安装</w:t>
            </w:r>
            <w:r>
              <w:rPr>
                <w:rFonts w:hint="default" w:ascii="Times New Roman" w:hAnsi="Times New Roman" w:eastAsia="方正仿宋_GBK" w:cs="Times New Roman"/>
                <w:color w:val="auto"/>
                <w:sz w:val="28"/>
                <w:szCs w:val="28"/>
                <w:highlight w:val="none"/>
                <w:lang w:val="en-US" w:eastAsia="zh-CN"/>
              </w:rPr>
              <w:t>过程</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培训内容及计划，</w:t>
            </w:r>
            <w:r>
              <w:rPr>
                <w:rFonts w:hint="default" w:ascii="Times New Roman" w:hAnsi="Times New Roman" w:eastAsia="方正仿宋_GBK" w:cs="Times New Roman"/>
                <w:color w:val="auto"/>
                <w:sz w:val="28"/>
                <w:szCs w:val="28"/>
                <w:highlight w:val="none"/>
              </w:rPr>
              <w:t>内容简单</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针对性不强</w:t>
            </w:r>
            <w:r>
              <w:rPr>
                <w:rFonts w:hint="default" w:ascii="Times New Roman" w:hAnsi="Times New Roman" w:eastAsia="方正仿宋_GBK" w:cs="Times New Roman"/>
                <w:color w:val="auto"/>
                <w:sz w:val="28"/>
                <w:szCs w:val="28"/>
                <w:highlight w:val="none"/>
              </w:rPr>
              <w:t>；</w:t>
            </w:r>
          </w:p>
          <w:p w14:paraId="6BF39C23">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jc w:val="left"/>
              <w:textAlignment w:val="auto"/>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4</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第四档次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0</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lang w:val="en-US" w:eastAsia="zh-CN"/>
              </w:rPr>
              <w:t>未提供所有设备供货进度、</w:t>
            </w:r>
            <w:r>
              <w:rPr>
                <w:rFonts w:hint="default" w:ascii="Times New Roman" w:hAnsi="Times New Roman" w:eastAsia="方正仿宋_GBK" w:cs="Times New Roman"/>
                <w:color w:val="auto"/>
                <w:sz w:val="28"/>
                <w:szCs w:val="28"/>
                <w:highlight w:val="none"/>
              </w:rPr>
              <w:t>安装</w:t>
            </w:r>
            <w:r>
              <w:rPr>
                <w:rFonts w:hint="default" w:ascii="Times New Roman" w:hAnsi="Times New Roman" w:eastAsia="方正仿宋_GBK" w:cs="Times New Roman"/>
                <w:color w:val="auto"/>
                <w:sz w:val="28"/>
                <w:szCs w:val="28"/>
                <w:highlight w:val="none"/>
                <w:lang w:val="en-US" w:eastAsia="zh-CN"/>
              </w:rPr>
              <w:t>过程</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培训内容及计划方案的不得分</w:t>
            </w:r>
            <w:r>
              <w:rPr>
                <w:rFonts w:hint="default" w:ascii="Times New Roman" w:hAnsi="Times New Roman" w:eastAsia="方正仿宋_GBK" w:cs="Times New Roman"/>
                <w:color w:val="auto"/>
                <w:sz w:val="28"/>
                <w:szCs w:val="28"/>
                <w:highlight w:val="none"/>
                <w:lang w:eastAsia="zh-CN"/>
              </w:rPr>
              <w:t>。</w:t>
            </w:r>
          </w:p>
        </w:tc>
      </w:tr>
      <w:tr w14:paraId="78BD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705" w:type="dxa"/>
            <w:vAlign w:val="center"/>
          </w:tcPr>
          <w:p w14:paraId="2A30B2BA">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3</w:t>
            </w:r>
          </w:p>
        </w:tc>
        <w:tc>
          <w:tcPr>
            <w:tcW w:w="1222" w:type="dxa"/>
            <w:vAlign w:val="center"/>
          </w:tcPr>
          <w:p w14:paraId="04FD719D">
            <w:pPr>
              <w:pageBreakBefore w:val="0"/>
              <w:kinsoku/>
              <w:wordWrap/>
              <w:overflowPunct/>
              <w:topLinePunct w:val="0"/>
              <w:bidi w:val="0"/>
              <w:spacing w:line="46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售后服务方案评审</w:t>
            </w:r>
          </w:p>
        </w:tc>
        <w:tc>
          <w:tcPr>
            <w:tcW w:w="874" w:type="dxa"/>
            <w:vAlign w:val="center"/>
          </w:tcPr>
          <w:p w14:paraId="47A325E1">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满分9分</w:t>
            </w:r>
          </w:p>
        </w:tc>
        <w:tc>
          <w:tcPr>
            <w:tcW w:w="7090" w:type="dxa"/>
          </w:tcPr>
          <w:p w14:paraId="59DFFC3B">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1</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第一个档次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9</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lang w:val="en-US" w:eastAsia="zh-CN"/>
              </w:rPr>
              <w:t>质保期严格遵循招标文件要求，售后服务体系完备高效，故障响应机制迅速，能确保问题在最短时间内解决；售后服务措施详实全面、切实可行，具备充分的落地保障。设备巡检维护周期设置科学合理，巡检计划内容细致周全、实操性强，各环节均精准响应招标文件需求，以专业与规范为设备全周期运行提供坚实保障；</w:t>
            </w:r>
          </w:p>
          <w:p w14:paraId="4342DA54">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2</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第二个档次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6</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color w:val="auto"/>
                <w:sz w:val="28"/>
                <w:szCs w:val="28"/>
                <w:highlight w:val="none"/>
                <w:lang w:val="en-US" w:eastAsia="zh-CN"/>
              </w:rPr>
              <w:t>质保期严格遵循招标文件要求，故障响应时间比较及时；售后服务及设备维护措施基本合理、具备可行性；设备巡检维护周期与巡检计划内容满足基本采购要求；</w:t>
            </w:r>
          </w:p>
          <w:p w14:paraId="2719D0E2">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3</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第三个档次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3</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质保期严格遵循招标文件要求，</w:t>
            </w:r>
            <w:r>
              <w:rPr>
                <w:rFonts w:hint="default" w:ascii="Times New Roman" w:hAnsi="Times New Roman" w:eastAsia="方正仿宋_GBK" w:cs="Times New Roman"/>
                <w:color w:val="auto"/>
                <w:sz w:val="28"/>
                <w:szCs w:val="28"/>
                <w:highlight w:val="none"/>
              </w:rPr>
              <w:t>售后服务内容</w:t>
            </w:r>
            <w:r>
              <w:rPr>
                <w:rFonts w:hint="default" w:ascii="Times New Roman" w:hAnsi="Times New Roman" w:eastAsia="方正仿宋_GBK" w:cs="Times New Roman"/>
                <w:color w:val="auto"/>
                <w:sz w:val="28"/>
                <w:szCs w:val="28"/>
                <w:highlight w:val="none"/>
                <w:lang w:val="en-US" w:eastAsia="zh-CN"/>
              </w:rPr>
              <w:t>及故障响应时间一般</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设备巡检维护周期、巡检计划内容</w:t>
            </w:r>
            <w:r>
              <w:rPr>
                <w:rFonts w:hint="default" w:ascii="Times New Roman" w:hAnsi="Times New Roman" w:eastAsia="方正仿宋_GBK" w:cs="Times New Roman"/>
                <w:color w:val="auto"/>
                <w:sz w:val="28"/>
                <w:szCs w:val="28"/>
                <w:highlight w:val="none"/>
              </w:rPr>
              <w:t>保证措施一般，欠合理、可行</w:t>
            </w:r>
            <w:r>
              <w:rPr>
                <w:rFonts w:hint="default" w:ascii="Times New Roman" w:hAnsi="Times New Roman" w:eastAsia="方正仿宋_GBK" w:cs="Times New Roman"/>
                <w:color w:val="auto"/>
                <w:sz w:val="28"/>
                <w:szCs w:val="28"/>
                <w:highlight w:val="none"/>
                <w:lang w:val="en-US" w:eastAsia="zh-CN"/>
              </w:rPr>
              <w:t>性差</w:t>
            </w:r>
            <w:r>
              <w:rPr>
                <w:rFonts w:hint="default" w:ascii="Times New Roman" w:hAnsi="Times New Roman" w:eastAsia="方正仿宋_GBK" w:cs="Times New Roman"/>
                <w:color w:val="auto"/>
                <w:sz w:val="28"/>
                <w:szCs w:val="28"/>
                <w:highlight w:val="none"/>
              </w:rPr>
              <w:t>；</w:t>
            </w:r>
          </w:p>
          <w:p w14:paraId="45A61BB2">
            <w:pPr>
              <w:keepNext w:val="0"/>
              <w:keepLines w:val="0"/>
              <w:pageBreakBefore w:val="0"/>
              <w:widowControl w:val="0"/>
              <w:kinsoku/>
              <w:wordWrap/>
              <w:overflowPunct/>
              <w:topLinePunct w:val="0"/>
              <w:autoSpaceDE w:val="0"/>
              <w:autoSpaceDN w:val="0"/>
              <w:bidi w:val="0"/>
              <w:adjustRightInd/>
              <w:snapToGrid w:val="0"/>
              <w:spacing w:line="460" w:lineRule="exact"/>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4</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第四个档次</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lang w:val="en-US" w:eastAsia="zh-CN"/>
              </w:rPr>
              <w:t>0</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分</w:t>
            </w:r>
            <w:r>
              <w:rPr>
                <w:rFonts w:hint="default" w:ascii="Times New Roman" w:hAnsi="Times New Roman" w:eastAsia="方正仿宋_GBK" w:cs="Times New Roman"/>
                <w:b/>
                <w:bCs/>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质保期不满足招标文件要求，</w:t>
            </w:r>
            <w:r>
              <w:rPr>
                <w:rFonts w:hint="default" w:ascii="Times New Roman" w:hAnsi="Times New Roman" w:eastAsia="方正仿宋_GBK" w:cs="Times New Roman"/>
                <w:color w:val="auto"/>
                <w:sz w:val="28"/>
                <w:szCs w:val="28"/>
                <w:highlight w:val="none"/>
              </w:rPr>
              <w:t>无售后服务承诺、无保证措施、保证措施不合理</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不可行</w:t>
            </w:r>
            <w:r>
              <w:rPr>
                <w:rFonts w:hint="default" w:ascii="Times New Roman" w:hAnsi="Times New Roman" w:eastAsia="方正仿宋_GBK" w:cs="Times New Roman"/>
                <w:color w:val="auto"/>
                <w:sz w:val="28"/>
                <w:szCs w:val="28"/>
                <w:highlight w:val="none"/>
                <w:lang w:val="en-US" w:eastAsia="zh-CN"/>
              </w:rPr>
              <w:t>或未提供方案的不得分</w:t>
            </w:r>
            <w:r>
              <w:rPr>
                <w:rFonts w:hint="default" w:ascii="Times New Roman" w:hAnsi="Times New Roman" w:eastAsia="方正仿宋_GBK" w:cs="Times New Roman"/>
                <w:color w:val="auto"/>
                <w:sz w:val="28"/>
                <w:szCs w:val="28"/>
                <w:highlight w:val="none"/>
              </w:rPr>
              <w:t>。</w:t>
            </w:r>
          </w:p>
          <w:p w14:paraId="3A4C1D8E">
            <w:pPr>
              <w:keepNext w:val="0"/>
              <w:keepLines w:val="0"/>
              <w:pageBreakBefore w:val="0"/>
              <w:widowControl w:val="0"/>
              <w:numPr>
                <w:ilvl w:val="0"/>
                <w:numId w:val="0"/>
              </w:numPr>
              <w:kinsoku/>
              <w:wordWrap/>
              <w:overflowPunct/>
              <w:topLinePunct w:val="0"/>
              <w:autoSpaceDE w:val="0"/>
              <w:autoSpaceDN w:val="0"/>
              <w:bidi w:val="0"/>
              <w:adjustRightInd/>
              <w:spacing w:line="460" w:lineRule="exact"/>
              <w:jc w:val="left"/>
              <w:textAlignment w:val="auto"/>
              <w:rPr>
                <w:rFonts w:hint="default" w:ascii="Times New Roman" w:hAnsi="Times New Roman" w:eastAsia="方正仿宋_GBK" w:cs="Times New Roman"/>
                <w:b/>
                <w:bCs/>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注：</w:t>
            </w:r>
            <w:r>
              <w:rPr>
                <w:rFonts w:hint="default" w:ascii="Times New Roman" w:hAnsi="Times New Roman" w:eastAsia="方正仿宋_GBK" w:cs="Times New Roman"/>
                <w:color w:val="auto"/>
                <w:sz w:val="28"/>
                <w:szCs w:val="28"/>
                <w:highlight w:val="none"/>
              </w:rPr>
              <w:t>质保期低于</w:t>
            </w:r>
            <w:r>
              <w:rPr>
                <w:rFonts w:hint="default" w:ascii="Times New Roman" w:hAnsi="Times New Roman" w:eastAsia="方正仿宋_GBK" w:cs="Times New Roman"/>
                <w:color w:val="auto"/>
                <w:sz w:val="28"/>
                <w:szCs w:val="28"/>
                <w:highlight w:val="none"/>
                <w:lang w:val="en-US" w:eastAsia="zh-CN"/>
              </w:rPr>
              <w:t>2年</w:t>
            </w:r>
            <w:r>
              <w:rPr>
                <w:rFonts w:hint="default" w:ascii="Times New Roman" w:hAnsi="Times New Roman" w:eastAsia="方正仿宋_GBK" w:cs="Times New Roman"/>
                <w:color w:val="auto"/>
                <w:sz w:val="28"/>
                <w:szCs w:val="28"/>
                <w:highlight w:val="none"/>
              </w:rPr>
              <w:t>的</w:t>
            </w:r>
            <w:r>
              <w:rPr>
                <w:rFonts w:hint="default" w:ascii="Times New Roman" w:hAnsi="Times New Roman" w:eastAsia="方正仿宋_GBK" w:cs="Times New Roman"/>
                <w:color w:val="auto"/>
                <w:sz w:val="28"/>
                <w:szCs w:val="28"/>
                <w:highlight w:val="none"/>
                <w:lang w:val="en-US" w:eastAsia="zh-CN"/>
              </w:rPr>
              <w:t>该项</w:t>
            </w:r>
            <w:r>
              <w:rPr>
                <w:rFonts w:hint="default" w:ascii="Times New Roman" w:hAnsi="Times New Roman" w:eastAsia="方正仿宋_GBK" w:cs="Times New Roman"/>
                <w:color w:val="auto"/>
                <w:sz w:val="28"/>
                <w:szCs w:val="28"/>
                <w:highlight w:val="none"/>
              </w:rPr>
              <w:t>不得分。</w:t>
            </w:r>
          </w:p>
        </w:tc>
      </w:tr>
      <w:tr w14:paraId="393A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05" w:type="dxa"/>
            <w:vAlign w:val="center"/>
          </w:tcPr>
          <w:p w14:paraId="04D74BB2">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4</w:t>
            </w:r>
          </w:p>
        </w:tc>
        <w:tc>
          <w:tcPr>
            <w:tcW w:w="1222" w:type="dxa"/>
            <w:vAlign w:val="center"/>
          </w:tcPr>
          <w:p w14:paraId="531B6258">
            <w:pPr>
              <w:pageBreakBefore w:val="0"/>
              <w:kinsoku/>
              <w:wordWrap/>
              <w:overflowPunct/>
              <w:topLinePunct w:val="0"/>
              <w:bidi w:val="0"/>
              <w:spacing w:line="46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同类业绩评审</w:t>
            </w:r>
          </w:p>
        </w:tc>
        <w:tc>
          <w:tcPr>
            <w:tcW w:w="874" w:type="dxa"/>
            <w:vAlign w:val="center"/>
          </w:tcPr>
          <w:p w14:paraId="5865C213">
            <w:pPr>
              <w:pageBreakBefore w:val="0"/>
              <w:kinsoku/>
              <w:wordWrap/>
              <w:overflowPunct/>
              <w:topLinePunct w:val="0"/>
              <w:bidi w:val="0"/>
              <w:spacing w:line="460" w:lineRule="exact"/>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满分4分</w:t>
            </w:r>
          </w:p>
        </w:tc>
        <w:tc>
          <w:tcPr>
            <w:tcW w:w="7090" w:type="dxa"/>
          </w:tcPr>
          <w:p w14:paraId="1F32C5D6">
            <w:pPr>
              <w:pageBreakBefore w:val="0"/>
              <w:kinsoku/>
              <w:wordWrap/>
              <w:overflowPunct/>
              <w:topLinePunct w:val="0"/>
              <w:bidi w:val="0"/>
              <w:spacing w:line="46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投标人2022年至今每承担过1个类似项目业绩得1分，满分4分。</w:t>
            </w:r>
          </w:p>
          <w:p w14:paraId="64E43F27">
            <w:pPr>
              <w:pageBreakBefore w:val="0"/>
              <w:kinsoku/>
              <w:wordWrap/>
              <w:overflowPunct/>
              <w:topLinePunct w:val="0"/>
              <w:bidi w:val="0"/>
              <w:spacing w:line="460" w:lineRule="exac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注：投标文件中须提供类似项目的供货合同或中标/成交通知书扫描件。无证明材料或证明材料不明确、不齐全、不一致、无法体现业绩内容的不得分，如业绩合同不能反应项目内容，须另附业主证明等相关证明材料。</w:t>
            </w:r>
          </w:p>
        </w:tc>
      </w:tr>
    </w:tbl>
    <w:p w14:paraId="71E3ACD7">
      <w:pPr>
        <w:pStyle w:val="15"/>
        <w:pageBreakBefore w:val="0"/>
        <w:numPr>
          <w:ilvl w:val="0"/>
          <w:numId w:val="0"/>
        </w:numPr>
        <w:kinsoku/>
        <w:wordWrap/>
        <w:overflowPunct/>
        <w:topLinePunct w:val="0"/>
        <w:bidi w:val="0"/>
        <w:spacing w:after="0" w:line="460" w:lineRule="exact"/>
        <w:ind w:leftChars="0"/>
        <w:textAlignment w:val="auto"/>
        <w:outlineLvl w:val="3"/>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3.评标办法</w:t>
      </w:r>
    </w:p>
    <w:p w14:paraId="788272C4">
      <w:pPr>
        <w:pageBreakBefore w:val="0"/>
        <w:kinsoku/>
        <w:wordWrap/>
        <w:overflowPunct/>
        <w:topLinePunct w:val="0"/>
        <w:bidi w:val="0"/>
        <w:spacing w:line="460" w:lineRule="exact"/>
        <w:ind w:firstLine="562" w:firstLineChars="200"/>
        <w:textAlignment w:val="auto"/>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本次评标采用综合评分法。</w:t>
      </w:r>
    </w:p>
    <w:p w14:paraId="172748DB">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3.1</w:t>
      </w:r>
      <w:r>
        <w:rPr>
          <w:rFonts w:hint="default" w:ascii="Times New Roman" w:hAnsi="Times New Roman" w:eastAsia="方正仿宋_GBK" w:cs="Times New Roman"/>
          <w:color w:val="auto"/>
          <w:sz w:val="28"/>
          <w:szCs w:val="28"/>
          <w:highlight w:val="none"/>
        </w:rPr>
        <w:t>.1本次招标所采用的评审方法为中华人民共和国财政部令(2017)第87号《政府采购货物和服务招标投标管理办法》第五十五条规定的“综合评分法”，即：</w:t>
      </w:r>
      <w:r>
        <w:rPr>
          <w:rFonts w:hint="default" w:ascii="Times New Roman" w:hAnsi="Times New Roman" w:eastAsia="方正仿宋_GBK" w:cs="Times New Roman"/>
          <w:color w:val="auto"/>
          <w:sz w:val="28"/>
          <w:szCs w:val="28"/>
          <w:highlight w:val="none"/>
          <w:lang w:val="en-US" w:eastAsia="zh-CN"/>
        </w:rPr>
        <w:t>投标</w:t>
      </w:r>
      <w:r>
        <w:rPr>
          <w:rFonts w:hint="default" w:ascii="Times New Roman" w:hAnsi="Times New Roman" w:eastAsia="方正仿宋_GBK" w:cs="Times New Roman"/>
          <w:color w:val="auto"/>
          <w:sz w:val="28"/>
          <w:szCs w:val="28"/>
          <w:highlight w:val="none"/>
          <w:lang w:eastAsia="zh-CN"/>
        </w:rPr>
        <w:t>文件</w:t>
      </w:r>
      <w:r>
        <w:rPr>
          <w:rFonts w:hint="default" w:ascii="Times New Roman" w:hAnsi="Times New Roman" w:eastAsia="方正仿宋_GBK" w:cs="Times New Roman"/>
          <w:color w:val="auto"/>
          <w:sz w:val="28"/>
          <w:szCs w:val="28"/>
          <w:highlight w:val="none"/>
        </w:rPr>
        <w:t>满足招标文件全部实质性要求，且按照评审因素的量化指标评审得分最高的</w:t>
      </w:r>
      <w:r>
        <w:rPr>
          <w:rFonts w:hint="default" w:ascii="Times New Roman" w:hAnsi="Times New Roman" w:eastAsia="方正仿宋_GBK" w:cs="Times New Roman"/>
          <w:color w:val="auto"/>
          <w:sz w:val="28"/>
          <w:szCs w:val="28"/>
          <w:highlight w:val="none"/>
          <w:lang w:val="en-US" w:eastAsia="zh-CN"/>
        </w:rPr>
        <w:t>投标人</w:t>
      </w:r>
      <w:r>
        <w:rPr>
          <w:rFonts w:hint="default" w:ascii="Times New Roman" w:hAnsi="Times New Roman" w:eastAsia="方正仿宋_GBK" w:cs="Times New Roman"/>
          <w:color w:val="auto"/>
          <w:sz w:val="28"/>
          <w:szCs w:val="28"/>
          <w:highlight w:val="none"/>
        </w:rPr>
        <w:t>为中标候选人的评审方法。</w:t>
      </w:r>
    </w:p>
    <w:p w14:paraId="5D7793D0">
      <w:pPr>
        <w:pageBreakBefore w:val="0"/>
        <w:widowControl/>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b w:val="0"/>
          <w:bCs/>
          <w:color w:val="auto"/>
          <w:sz w:val="28"/>
          <w:szCs w:val="28"/>
          <w:highlight w:val="none"/>
        </w:rPr>
      </w:pPr>
      <w:r>
        <w:rPr>
          <w:rFonts w:hint="default" w:ascii="Times New Roman" w:hAnsi="Times New Roman" w:eastAsia="方正仿宋_GBK" w:cs="Times New Roman"/>
          <w:b w:val="0"/>
          <w:bCs/>
          <w:color w:val="auto"/>
          <w:sz w:val="28"/>
          <w:szCs w:val="28"/>
          <w:highlight w:val="none"/>
          <w:lang w:val="en-US" w:eastAsia="zh-CN"/>
        </w:rPr>
        <w:t>3.1</w:t>
      </w:r>
      <w:r>
        <w:rPr>
          <w:rFonts w:hint="default" w:ascii="Times New Roman" w:hAnsi="Times New Roman" w:eastAsia="方正仿宋_GBK" w:cs="Times New Roman"/>
          <w:b w:val="0"/>
          <w:bCs/>
          <w:color w:val="auto"/>
          <w:sz w:val="28"/>
          <w:szCs w:val="28"/>
          <w:highlight w:val="none"/>
        </w:rPr>
        <w:t>.2评标委员会按以下公式计算出各</w:t>
      </w:r>
      <w:r>
        <w:rPr>
          <w:rFonts w:hint="default" w:ascii="Times New Roman" w:hAnsi="Times New Roman" w:eastAsia="方正仿宋_GBK" w:cs="Times New Roman"/>
          <w:b w:val="0"/>
          <w:bCs/>
          <w:color w:val="auto"/>
          <w:sz w:val="28"/>
          <w:szCs w:val="28"/>
          <w:highlight w:val="none"/>
          <w:lang w:val="en-US" w:eastAsia="zh-CN"/>
        </w:rPr>
        <w:t>标项投标人</w:t>
      </w:r>
      <w:r>
        <w:rPr>
          <w:rFonts w:hint="default" w:ascii="Times New Roman" w:hAnsi="Times New Roman" w:eastAsia="方正仿宋_GBK" w:cs="Times New Roman"/>
          <w:b w:val="0"/>
          <w:bCs/>
          <w:color w:val="auto"/>
          <w:sz w:val="28"/>
          <w:szCs w:val="28"/>
          <w:highlight w:val="none"/>
        </w:rPr>
        <w:t>的总得分，推荐中标候选人按评标总得分由高到低顺序排列。</w:t>
      </w:r>
    </w:p>
    <w:p w14:paraId="3E495387">
      <w:pPr>
        <w:pageBreakBefore w:val="0"/>
        <w:widowControl/>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b w:val="0"/>
          <w:bCs/>
          <w:color w:val="auto"/>
          <w:sz w:val="28"/>
          <w:szCs w:val="28"/>
          <w:highlight w:val="none"/>
          <w:lang w:val="en-US" w:eastAsia="zh-CN"/>
        </w:rPr>
      </w:pPr>
      <w:r>
        <w:rPr>
          <w:rFonts w:hint="default" w:ascii="Times New Roman" w:hAnsi="Times New Roman" w:eastAsia="方正仿宋_GBK" w:cs="Times New Roman"/>
          <w:b w:val="0"/>
          <w:bCs/>
          <w:color w:val="auto"/>
          <w:sz w:val="28"/>
          <w:szCs w:val="28"/>
          <w:highlight w:val="none"/>
        </w:rPr>
        <w:t>评标总得分计算公式</w:t>
      </w:r>
      <w:r>
        <w:rPr>
          <w:rFonts w:hint="default" w:ascii="Times New Roman" w:hAnsi="Times New Roman" w:eastAsia="方正仿宋_GBK" w:cs="Times New Roman"/>
          <w:b w:val="0"/>
          <w:bCs/>
          <w:color w:val="auto"/>
          <w:sz w:val="28"/>
          <w:szCs w:val="28"/>
          <w:highlight w:val="none"/>
          <w:lang w:eastAsia="zh-CN"/>
        </w:rPr>
        <w:t>：投标人的评标总得分＝F1</w:t>
      </w:r>
      <w:r>
        <w:rPr>
          <w:rFonts w:hint="default" w:ascii="Times New Roman" w:hAnsi="Times New Roman" w:eastAsia="方正仿宋_GBK" w:cs="Times New Roman"/>
          <w:b w:val="0"/>
          <w:bCs/>
          <w:color w:val="auto"/>
          <w:sz w:val="28"/>
          <w:szCs w:val="28"/>
          <w:highlight w:val="none"/>
          <w:lang w:val="en-US" w:eastAsia="zh-CN"/>
        </w:rPr>
        <w:t>+</w:t>
      </w:r>
      <w:r>
        <w:rPr>
          <w:rFonts w:hint="default" w:ascii="Times New Roman" w:hAnsi="Times New Roman" w:eastAsia="方正仿宋_GBK" w:cs="Times New Roman"/>
          <w:b w:val="0"/>
          <w:bCs/>
          <w:color w:val="auto"/>
          <w:sz w:val="28"/>
          <w:szCs w:val="28"/>
          <w:highlight w:val="none"/>
          <w:lang w:eastAsia="zh-CN"/>
        </w:rPr>
        <w:t>F2</w:t>
      </w:r>
      <w:r>
        <w:rPr>
          <w:rFonts w:hint="default" w:ascii="Times New Roman" w:hAnsi="Times New Roman" w:eastAsia="方正仿宋_GBK" w:cs="Times New Roman"/>
          <w:b w:val="0"/>
          <w:bCs/>
          <w:color w:val="auto"/>
          <w:sz w:val="28"/>
          <w:szCs w:val="28"/>
          <w:highlight w:val="none"/>
          <w:lang w:val="en-US" w:eastAsia="zh-CN"/>
        </w:rPr>
        <w:t>+F3</w:t>
      </w:r>
    </w:p>
    <w:p w14:paraId="13F4D419">
      <w:pPr>
        <w:pageBreakBefore w:val="0"/>
        <w:widowControl/>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b w:val="0"/>
          <w:bCs/>
          <w:color w:val="auto"/>
          <w:sz w:val="28"/>
          <w:szCs w:val="28"/>
          <w:highlight w:val="none"/>
          <w:lang w:val="en-US" w:eastAsia="zh-CN"/>
        </w:rPr>
      </w:pPr>
      <w:r>
        <w:rPr>
          <w:rFonts w:hint="default" w:ascii="Times New Roman" w:hAnsi="Times New Roman" w:eastAsia="方正仿宋_GBK" w:cs="Times New Roman"/>
          <w:b w:val="0"/>
          <w:bCs/>
          <w:color w:val="auto"/>
          <w:sz w:val="28"/>
          <w:szCs w:val="28"/>
          <w:highlight w:val="none"/>
          <w:lang w:eastAsia="zh-CN"/>
        </w:rPr>
        <w:t>其中：F1、F2、</w:t>
      </w:r>
      <w:r>
        <w:rPr>
          <w:rFonts w:hint="default" w:ascii="Times New Roman" w:hAnsi="Times New Roman" w:eastAsia="方正仿宋_GBK" w:cs="Times New Roman"/>
          <w:b w:val="0"/>
          <w:bCs/>
          <w:color w:val="auto"/>
          <w:sz w:val="28"/>
          <w:szCs w:val="28"/>
          <w:highlight w:val="none"/>
          <w:lang w:val="en-US" w:eastAsia="zh-CN"/>
        </w:rPr>
        <w:t>F3</w:t>
      </w:r>
      <w:r>
        <w:rPr>
          <w:rFonts w:hint="default" w:ascii="Times New Roman" w:hAnsi="Times New Roman" w:eastAsia="方正仿宋_GBK" w:cs="Times New Roman"/>
          <w:b w:val="0"/>
          <w:bCs/>
          <w:color w:val="auto"/>
          <w:sz w:val="28"/>
          <w:szCs w:val="28"/>
          <w:highlight w:val="none"/>
          <w:lang w:eastAsia="zh-CN"/>
        </w:rPr>
        <w:t>分别为</w:t>
      </w:r>
      <w:r>
        <w:rPr>
          <w:rFonts w:hint="default" w:ascii="Times New Roman" w:hAnsi="Times New Roman" w:eastAsia="方正仿宋_GBK" w:cs="Times New Roman"/>
          <w:b w:val="0"/>
          <w:bCs/>
          <w:color w:val="auto"/>
          <w:sz w:val="28"/>
          <w:szCs w:val="28"/>
          <w:highlight w:val="none"/>
          <w:lang w:val="en-US" w:eastAsia="zh-CN"/>
        </w:rPr>
        <w:t>投标</w:t>
      </w:r>
      <w:r>
        <w:rPr>
          <w:rFonts w:hint="default" w:ascii="Times New Roman" w:hAnsi="Times New Roman" w:eastAsia="方正仿宋_GBK" w:cs="Times New Roman"/>
          <w:b w:val="0"/>
          <w:bCs/>
          <w:color w:val="auto"/>
          <w:sz w:val="28"/>
          <w:szCs w:val="28"/>
          <w:highlight w:val="none"/>
          <w:lang w:eastAsia="zh-CN"/>
        </w:rPr>
        <w:t>报价</w:t>
      </w:r>
      <w:r>
        <w:rPr>
          <w:rFonts w:hint="default" w:ascii="Times New Roman" w:hAnsi="Times New Roman" w:eastAsia="方正仿宋_GBK" w:cs="Times New Roman"/>
          <w:b w:val="0"/>
          <w:bCs/>
          <w:color w:val="auto"/>
          <w:sz w:val="28"/>
          <w:szCs w:val="28"/>
          <w:highlight w:val="none"/>
          <w:lang w:val="en-US" w:eastAsia="zh-CN"/>
        </w:rPr>
        <w:t>部分</w:t>
      </w:r>
      <w:r>
        <w:rPr>
          <w:rFonts w:hint="default" w:ascii="Times New Roman" w:hAnsi="Times New Roman" w:eastAsia="方正仿宋_GBK" w:cs="Times New Roman"/>
          <w:b w:val="0"/>
          <w:bCs/>
          <w:color w:val="auto"/>
          <w:sz w:val="28"/>
          <w:szCs w:val="28"/>
          <w:highlight w:val="none"/>
          <w:lang w:eastAsia="zh-CN"/>
        </w:rPr>
        <w:t>、技术</w:t>
      </w:r>
      <w:r>
        <w:rPr>
          <w:rFonts w:hint="default" w:ascii="Times New Roman" w:hAnsi="Times New Roman" w:eastAsia="方正仿宋_GBK" w:cs="Times New Roman"/>
          <w:b w:val="0"/>
          <w:bCs/>
          <w:color w:val="auto"/>
          <w:sz w:val="28"/>
          <w:szCs w:val="28"/>
          <w:highlight w:val="none"/>
          <w:lang w:val="en-US" w:eastAsia="zh-CN"/>
        </w:rPr>
        <w:t>部分、商务部分3</w:t>
      </w:r>
      <w:r>
        <w:rPr>
          <w:rFonts w:hint="default" w:ascii="Times New Roman" w:hAnsi="Times New Roman" w:eastAsia="方正仿宋_GBK" w:cs="Times New Roman"/>
          <w:b w:val="0"/>
          <w:bCs/>
          <w:color w:val="auto"/>
          <w:sz w:val="28"/>
          <w:szCs w:val="28"/>
          <w:highlight w:val="none"/>
          <w:lang w:eastAsia="zh-CN"/>
        </w:rPr>
        <w:t>项评分因素的汇总得分</w:t>
      </w:r>
      <w:r>
        <w:rPr>
          <w:rFonts w:hint="default" w:ascii="Times New Roman" w:hAnsi="Times New Roman" w:eastAsia="方正仿宋_GBK" w:cs="Times New Roman"/>
          <w:b w:val="0"/>
          <w:bCs/>
          <w:color w:val="auto"/>
          <w:sz w:val="28"/>
          <w:szCs w:val="28"/>
          <w:highlight w:val="none"/>
          <w:lang w:val="en-US" w:eastAsia="zh-CN"/>
        </w:rPr>
        <w:t>。</w:t>
      </w:r>
    </w:p>
    <w:p w14:paraId="5A8F7F5E">
      <w:pPr>
        <w:pStyle w:val="15"/>
        <w:pageBreakBefore w:val="0"/>
        <w:numPr>
          <w:ilvl w:val="0"/>
          <w:numId w:val="0"/>
        </w:numPr>
        <w:kinsoku/>
        <w:wordWrap/>
        <w:overflowPunct/>
        <w:topLinePunct w:val="0"/>
        <w:bidi w:val="0"/>
        <w:spacing w:after="0" w:line="460" w:lineRule="exact"/>
        <w:textAlignment w:val="auto"/>
        <w:outlineLvl w:val="3"/>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4.政府采购政策</w:t>
      </w:r>
    </w:p>
    <w:p w14:paraId="7FA07218">
      <w:pPr>
        <w:pageBreakBefore w:val="0"/>
        <w:kinsoku/>
        <w:wordWrap/>
        <w:overflowPunct/>
        <w:topLinePunct w:val="0"/>
        <w:bidi w:val="0"/>
        <w:spacing w:line="460" w:lineRule="exact"/>
        <w:ind w:firstLine="562" w:firstLineChars="200"/>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en-US" w:eastAsia="zh-CN"/>
        </w:rPr>
        <w:t>4</w:t>
      </w:r>
      <w:r>
        <w:rPr>
          <w:rFonts w:hint="default" w:ascii="Times New Roman" w:hAnsi="Times New Roman" w:eastAsia="方正仿宋_GBK" w:cs="Times New Roman"/>
          <w:b/>
          <w:color w:val="auto"/>
          <w:sz w:val="28"/>
          <w:szCs w:val="28"/>
          <w:highlight w:val="none"/>
        </w:rPr>
        <w:t>.1中小企业</w:t>
      </w:r>
    </w:p>
    <w:p w14:paraId="59AD71AD">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1.1根据《关于进一步加大政府采购支持中小企业力度的通知》（财库【2022】19号）、《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w:t>
      </w:r>
    </w:p>
    <w:p w14:paraId="5A036957">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.1.2在政府采购活动中，</w:t>
      </w:r>
      <w:r>
        <w:rPr>
          <w:rFonts w:hint="default" w:ascii="Times New Roman" w:hAnsi="Times New Roman" w:eastAsia="方正仿宋_GBK" w:cs="Times New Roman"/>
          <w:color w:val="auto"/>
          <w:sz w:val="28"/>
          <w:szCs w:val="28"/>
          <w:highlight w:val="none"/>
          <w:lang w:val="en-US" w:eastAsia="zh-CN"/>
        </w:rPr>
        <w:t>投标人</w:t>
      </w:r>
      <w:r>
        <w:rPr>
          <w:rFonts w:hint="default" w:ascii="Times New Roman" w:hAnsi="Times New Roman" w:eastAsia="方正仿宋_GBK" w:cs="Times New Roman"/>
          <w:color w:val="auto"/>
          <w:sz w:val="28"/>
          <w:szCs w:val="28"/>
          <w:highlight w:val="none"/>
        </w:rPr>
        <w:t>提供的货物、工程或者服务符合下列情形的，享受本办法规定的中小企业扶持政策：</w:t>
      </w:r>
    </w:p>
    <w:p w14:paraId="6388FA1F">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（一）在货物采购项目中，货物由中小企业制造，即货物由中小企业生产且使用该中小企业商号或者注册商标；</w:t>
      </w:r>
    </w:p>
    <w:p w14:paraId="0D3D8C66">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（二）在工程采购项目中，工程由中小企业承建，即工程施工单位为中小企业；</w:t>
      </w:r>
    </w:p>
    <w:p w14:paraId="60C84D41">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（三）在服务采购项目中，服务由中小企业承接，即提供服务的人员为中小企业依照《中华人民共和国劳动合同法》订立劳动合同的从业人员。</w:t>
      </w:r>
    </w:p>
    <w:p w14:paraId="590E52CC">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.1.3在货物采购项目中，</w:t>
      </w:r>
      <w:r>
        <w:rPr>
          <w:rFonts w:hint="default" w:ascii="Times New Roman" w:hAnsi="Times New Roman" w:eastAsia="方正仿宋_GBK" w:cs="Times New Roman"/>
          <w:color w:val="auto"/>
          <w:sz w:val="28"/>
          <w:szCs w:val="28"/>
          <w:highlight w:val="none"/>
          <w:lang w:val="en-US" w:eastAsia="zh-CN"/>
        </w:rPr>
        <w:t>投标人</w:t>
      </w:r>
      <w:r>
        <w:rPr>
          <w:rFonts w:hint="default" w:ascii="Times New Roman" w:hAnsi="Times New Roman" w:eastAsia="方正仿宋_GBK" w:cs="Times New Roman"/>
          <w:color w:val="auto"/>
          <w:sz w:val="28"/>
          <w:szCs w:val="28"/>
          <w:highlight w:val="none"/>
        </w:rPr>
        <w:t>为中小企业，但所提供的货物为大型企业制造的，即货物由大型企业生产且使用大型企业商号或者注册商标的，享受《办法》规定的中小企业扶持政策；</w:t>
      </w:r>
      <w:r>
        <w:rPr>
          <w:rFonts w:hint="default" w:ascii="Times New Roman" w:hAnsi="Times New Roman" w:eastAsia="方正仿宋_GBK" w:cs="Times New Roman"/>
          <w:color w:val="auto"/>
          <w:sz w:val="28"/>
          <w:szCs w:val="28"/>
          <w:highlight w:val="none"/>
          <w:lang w:val="en-US" w:eastAsia="zh-CN"/>
        </w:rPr>
        <w:t>投标人</w:t>
      </w:r>
      <w:r>
        <w:rPr>
          <w:rFonts w:hint="default" w:ascii="Times New Roman" w:hAnsi="Times New Roman" w:eastAsia="方正仿宋_GBK" w:cs="Times New Roman"/>
          <w:color w:val="auto"/>
          <w:sz w:val="28"/>
          <w:szCs w:val="28"/>
          <w:highlight w:val="none"/>
        </w:rPr>
        <w:t>提供的货物既有中型企业制造，也有小微企业制造的，不享受《办法》规定的小微企业扶持政策。</w:t>
      </w:r>
    </w:p>
    <w:p w14:paraId="0C080EE2">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本规定所称中小企业划分标准，是指国务院有关部门根据企业从业人员、营业收入、资产总额等指标制定的中小企业划型标准，详见《关于印发中小企业划型标准规定的通知》（工信部联企业〔2011〕300号）。</w:t>
      </w:r>
    </w:p>
    <w:p w14:paraId="6C231150">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中小企业提供本企业制造的货物参与政府采购活动时应当出具《中小企业声明函》；提供其他中小企业制造的货物参与政府采购活动时还须同时提供货物制造企业的《中小企业声明函》，否则不得享受相关中小企业扶持政策。</w:t>
      </w:r>
    </w:p>
    <w:p w14:paraId="36203E18">
      <w:pPr>
        <w:pStyle w:val="9"/>
        <w:pageBreakBefore w:val="0"/>
        <w:tabs>
          <w:tab w:val="left" w:pos="2472"/>
        </w:tabs>
        <w:kinsoku/>
        <w:wordWrap/>
        <w:overflowPunct/>
        <w:topLinePunct w:val="0"/>
        <w:bidi w:val="0"/>
        <w:spacing w:line="460" w:lineRule="exact"/>
        <w:ind w:firstLine="562" w:firstLineChars="200"/>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en-US" w:eastAsia="zh-CN"/>
        </w:rPr>
        <w:t>4</w:t>
      </w:r>
      <w:r>
        <w:rPr>
          <w:rFonts w:hint="default" w:ascii="Times New Roman" w:hAnsi="Times New Roman" w:eastAsia="方正仿宋_GBK" w:cs="Times New Roman"/>
          <w:b/>
          <w:color w:val="auto"/>
          <w:sz w:val="28"/>
          <w:szCs w:val="28"/>
          <w:highlight w:val="none"/>
        </w:rPr>
        <w:t>.2监狱企业</w:t>
      </w:r>
    </w:p>
    <w:p w14:paraId="31FB07DC">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2.1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A6BFC4A">
      <w:pPr>
        <w:pStyle w:val="9"/>
        <w:pageBreakBefore w:val="0"/>
        <w:tabs>
          <w:tab w:val="left" w:pos="2472"/>
        </w:tabs>
        <w:kinsoku/>
        <w:wordWrap/>
        <w:overflowPunct/>
        <w:topLinePunct w:val="0"/>
        <w:bidi w:val="0"/>
        <w:spacing w:line="460" w:lineRule="exact"/>
        <w:ind w:firstLine="562" w:firstLineChars="200"/>
        <w:textAlignment w:val="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lang w:val="en-US" w:eastAsia="zh-CN"/>
        </w:rPr>
        <w:t>4</w:t>
      </w:r>
      <w:r>
        <w:rPr>
          <w:rFonts w:hint="default" w:ascii="Times New Roman" w:hAnsi="Times New Roman" w:eastAsia="方正仿宋_GBK" w:cs="Times New Roman"/>
          <w:b/>
          <w:color w:val="auto"/>
          <w:sz w:val="28"/>
          <w:szCs w:val="28"/>
          <w:highlight w:val="none"/>
        </w:rPr>
        <w:t>.</w:t>
      </w:r>
      <w:r>
        <w:rPr>
          <w:rFonts w:hint="default" w:ascii="Times New Roman" w:hAnsi="Times New Roman" w:eastAsia="方正仿宋_GBK" w:cs="Times New Roman"/>
          <w:b/>
          <w:color w:val="auto"/>
          <w:sz w:val="28"/>
          <w:szCs w:val="28"/>
          <w:highlight w:val="none"/>
          <w:lang w:val="en-US" w:eastAsia="zh-CN"/>
        </w:rPr>
        <w:t>3</w:t>
      </w:r>
      <w:r>
        <w:rPr>
          <w:rFonts w:hint="default" w:ascii="Times New Roman" w:hAnsi="Times New Roman" w:eastAsia="方正仿宋_GBK" w:cs="Times New Roman"/>
          <w:b/>
          <w:color w:val="auto"/>
          <w:sz w:val="28"/>
          <w:szCs w:val="28"/>
          <w:highlight w:val="none"/>
        </w:rPr>
        <w:t>残疾人福利性单位</w:t>
      </w:r>
    </w:p>
    <w:p w14:paraId="3AD9E8F0">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1根据《财政部 民政部 中国残疾人联合会关于促进残疾人就业政府采购政策的通知》，享受政府采购支持政策的残疾人福利性单位应当同时满足以下条件：</w:t>
      </w:r>
    </w:p>
    <w:p w14:paraId="25FADBE8">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（1）安置的残疾人占本单位在职职工人数的比例不低于25%（含25%），并且安置的残疾人人数不少于10人（含10人）；</w:t>
      </w:r>
    </w:p>
    <w:p w14:paraId="6E250C0D">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（2）依法与安置的每位残疾人签订了一年以上（含一年）的劳动合同或服务协议；</w:t>
      </w:r>
    </w:p>
    <w:p w14:paraId="07D62148">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（3）为安置的每位残疾人按月足额缴纳了基本养老保险、基本医疗保险、失业保险、工伤保险和生育保险等社会保险费；</w:t>
      </w:r>
    </w:p>
    <w:p w14:paraId="44DD393A">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（4）通过银行等金融机构向安置的每位残疾人，按月支付了不低于单位所在区县适用的经省级人民政府批准的月最低工资标准的工资；</w:t>
      </w:r>
    </w:p>
    <w:p w14:paraId="53A0C6B9">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（5）提供本单位制造的货物、承担的工程或者服务（以下简称产品），或者提供其他残疾人福利性单位制造的货物（不包括使用非残疾人福利性单位注册商标的货物）。</w:t>
      </w:r>
    </w:p>
    <w:p w14:paraId="068AC11C">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A2F6183">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.3.2符合条件的残疾人福利性单位在参加政府采购活动时，应当提供《残疾人福利性单位声明函》，并对声明的真实性负责。</w:t>
      </w:r>
    </w:p>
    <w:p w14:paraId="51EFEB91">
      <w:pPr>
        <w:pStyle w:val="9"/>
        <w:pageBreakBefore w:val="0"/>
        <w:tabs>
          <w:tab w:val="left" w:pos="2472"/>
        </w:tabs>
        <w:kinsoku/>
        <w:wordWrap/>
        <w:overflowPunct/>
        <w:topLinePunct w:val="0"/>
        <w:bidi w:val="0"/>
        <w:spacing w:line="460" w:lineRule="exact"/>
        <w:ind w:firstLine="562" w:firstLineChars="200"/>
        <w:textAlignment w:val="auto"/>
        <w:rPr>
          <w:rFonts w:hint="default" w:ascii="Times New Roman" w:hAnsi="Times New Roman" w:eastAsia="方正仿宋_GBK" w:cs="Times New Roman"/>
          <w:b/>
          <w:sz w:val="28"/>
          <w:szCs w:val="28"/>
          <w:highlight w:val="none"/>
        </w:rPr>
      </w:pPr>
      <w:r>
        <w:rPr>
          <w:rFonts w:hint="default" w:ascii="Times New Roman" w:hAnsi="Times New Roman" w:eastAsia="方正仿宋_GBK" w:cs="Times New Roman"/>
          <w:b/>
          <w:sz w:val="28"/>
          <w:szCs w:val="28"/>
          <w:highlight w:val="none"/>
          <w:lang w:val="en-US" w:eastAsia="zh-CN"/>
        </w:rPr>
        <w:t>4</w:t>
      </w:r>
      <w:r>
        <w:rPr>
          <w:rFonts w:hint="default" w:ascii="Times New Roman" w:hAnsi="Times New Roman" w:eastAsia="方正仿宋_GBK" w:cs="Times New Roman"/>
          <w:b/>
          <w:sz w:val="28"/>
          <w:szCs w:val="28"/>
          <w:highlight w:val="none"/>
        </w:rPr>
        <w:t>.4节能、环境标志产品</w:t>
      </w:r>
    </w:p>
    <w:p w14:paraId="6638977D">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.4.1节能产品是指列入财政部和国家发改委公布的《节能产品政府采购品目清单》中的产品。政府强制采购节能产品是指《节能产品政府采购品目清单》中以“★”标注类别的产品。</w:t>
      </w:r>
    </w:p>
    <w:p w14:paraId="4E953B6B">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.4.2环境标志产品是指列入财政部、生态环境部公布的《环境标志产品政府采购品目清单》中的产品。</w:t>
      </w:r>
    </w:p>
    <w:p w14:paraId="05A3F28E">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4.3本项目采购清单中若有政府强制采购节能产品，只接受获得国家确定的认证机构出具的、处于有效期之内的节能产品认证证书的产品，且产品认证应依据《节能产品政府采购品目清单》中相关标准的最新版本，依据国家标准中二级能效（水效）指标。否则按未实质性响应招标文件要求处理。</w:t>
      </w:r>
    </w:p>
    <w:p w14:paraId="4B2FF695">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4.4投标人提供的产品为节能/环境标志产品时，应在投标文件中承诺，该产品具有国家确定的认证机构出具的、处于有效期之内的节能产品/环境标志产品认证证书，且产品认证依据《节能产品政府采购品目清单》/《环境标志产品政府采购品目清单》中相关标准的最新版本，或可直接提供符合要求的节能产品/环境标志产品认证证书复印件/扫描件。</w:t>
      </w:r>
    </w:p>
    <w:p w14:paraId="4E16C85C">
      <w:pPr>
        <w:pageBreakBefore w:val="0"/>
        <w:kinsoku/>
        <w:wordWrap/>
        <w:overflowPunct/>
        <w:topLinePunct w:val="0"/>
        <w:bidi w:val="0"/>
        <w:adjustRightInd w:val="0"/>
        <w:spacing w:line="460" w:lineRule="exact"/>
        <w:ind w:firstLine="562"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sz w:val="28"/>
          <w:szCs w:val="28"/>
          <w:highlight w:val="none"/>
          <w:lang w:val="en-US" w:eastAsia="zh-CN" w:bidi="ar-SA"/>
        </w:rPr>
        <w:t>4.5</w:t>
      </w:r>
      <w:r>
        <w:rPr>
          <w:rFonts w:hint="default" w:ascii="Times New Roman" w:hAnsi="Times New Roman" w:eastAsia="方正仿宋_GBK" w:cs="Times New Roman"/>
          <w:sz w:val="28"/>
          <w:szCs w:val="28"/>
          <w:highlight w:val="none"/>
        </w:rPr>
        <w:t>政府采购在同等条件下，优先采购列入品目清单内非强制采购的节能产品、环境标志产品，优先采购优质优价的可追溯产品,优先采购监狱企业、残疾人福利性单位。</w:t>
      </w:r>
    </w:p>
    <w:p w14:paraId="22124E18">
      <w:pPr>
        <w:pageBreakBefore w:val="0"/>
        <w:kinsoku/>
        <w:wordWrap/>
        <w:overflowPunct/>
        <w:topLinePunct w:val="0"/>
        <w:bidi w:val="0"/>
        <w:spacing w:line="460" w:lineRule="exact"/>
        <w:textAlignment w:val="auto"/>
        <w:outlineLvl w:val="3"/>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5.</w:t>
      </w:r>
      <w:r>
        <w:rPr>
          <w:rFonts w:hint="default" w:ascii="Times New Roman" w:hAnsi="Times New Roman" w:eastAsia="方正仿宋_GBK" w:cs="Times New Roman"/>
          <w:b/>
          <w:bCs/>
          <w:color w:val="auto"/>
          <w:sz w:val="28"/>
          <w:szCs w:val="28"/>
          <w:highlight w:val="none"/>
        </w:rPr>
        <w:t>评审标准</w:t>
      </w:r>
    </w:p>
    <w:p w14:paraId="1AC7D25E">
      <w:pPr>
        <w:pageBreakBefore w:val="0"/>
        <w:kinsoku/>
        <w:wordWrap/>
        <w:overflowPunct/>
        <w:topLinePunct w:val="0"/>
        <w:bidi w:val="0"/>
        <w:spacing w:line="460" w:lineRule="exact"/>
        <w:ind w:firstLine="562" w:firstLineChars="200"/>
        <w:textAlignment w:val="auto"/>
        <w:rPr>
          <w:rFonts w:hint="default" w:ascii="Times New Roman" w:hAnsi="Times New Roman" w:eastAsia="方正仿宋_GBK" w:cs="Times New Roman"/>
          <w:b/>
          <w:bCs/>
          <w:color w:val="auto"/>
          <w:sz w:val="28"/>
          <w:szCs w:val="28"/>
          <w:highlight w:val="none"/>
        </w:rPr>
      </w:pPr>
      <w:bookmarkStart w:id="22" w:name="_Toc125986528"/>
      <w:bookmarkStart w:id="23" w:name="_Toc125904393"/>
      <w:r>
        <w:rPr>
          <w:rFonts w:hint="default" w:ascii="Times New Roman" w:hAnsi="Times New Roman" w:eastAsia="方正仿宋_GBK" w:cs="Times New Roman"/>
          <w:b/>
          <w:bCs/>
          <w:color w:val="auto"/>
          <w:sz w:val="28"/>
          <w:szCs w:val="28"/>
          <w:highlight w:val="none"/>
          <w:lang w:val="en-US" w:eastAsia="zh-CN"/>
        </w:rPr>
        <w:t>5</w:t>
      </w:r>
      <w:r>
        <w:rPr>
          <w:rFonts w:hint="default" w:ascii="Times New Roman" w:hAnsi="Times New Roman" w:eastAsia="方正仿宋_GBK" w:cs="Times New Roman"/>
          <w:b/>
          <w:bCs/>
          <w:color w:val="auto"/>
          <w:sz w:val="28"/>
          <w:szCs w:val="28"/>
          <w:highlight w:val="none"/>
        </w:rPr>
        <w:t>.1符合性评审</w:t>
      </w:r>
      <w:bookmarkEnd w:id="22"/>
      <w:bookmarkEnd w:id="23"/>
    </w:p>
    <w:p w14:paraId="7BDBA825">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bookmarkStart w:id="24" w:name="_Hlk48744286"/>
      <w:r>
        <w:rPr>
          <w:rFonts w:hint="default" w:ascii="Times New Roman" w:hAnsi="Times New Roman" w:eastAsia="方正仿宋_GBK" w:cs="Times New Roman"/>
          <w:color w:val="auto"/>
          <w:sz w:val="28"/>
          <w:szCs w:val="28"/>
          <w:highlight w:val="none"/>
        </w:rPr>
        <w:t>依据招标文件的规定，从投标文件的有效性、完整性和对招标文件的响应程度进行审查，以确定是否对招标文件的实质性要求作出响应；见评标办法前附表。</w:t>
      </w:r>
    </w:p>
    <w:bookmarkEnd w:id="24"/>
    <w:p w14:paraId="64C7ECAE">
      <w:pPr>
        <w:pageBreakBefore w:val="0"/>
        <w:numPr>
          <w:ilvl w:val="2"/>
          <w:numId w:val="0"/>
        </w:numPr>
        <w:tabs>
          <w:tab w:val="left" w:pos="360"/>
          <w:tab w:val="left" w:pos="900"/>
        </w:tabs>
        <w:kinsoku/>
        <w:wordWrap/>
        <w:overflowPunct/>
        <w:topLinePunct w:val="0"/>
        <w:bidi w:val="0"/>
        <w:spacing w:before="0" w:line="460" w:lineRule="exact"/>
        <w:ind w:firstLine="562" w:firstLineChars="200"/>
        <w:textAlignment w:val="auto"/>
        <w:outlineLvl w:val="9"/>
        <w:rPr>
          <w:rFonts w:hint="default" w:ascii="Times New Roman" w:hAnsi="Times New Roman" w:eastAsia="方正仿宋_GBK" w:cs="Times New Roman"/>
          <w:color w:val="auto"/>
          <w:sz w:val="28"/>
          <w:szCs w:val="28"/>
          <w:highlight w:val="none"/>
        </w:rPr>
      </w:pPr>
      <w:bookmarkStart w:id="25" w:name="_Toc326218114"/>
      <w:bookmarkStart w:id="26" w:name="_Toc125986529"/>
      <w:bookmarkStart w:id="27" w:name="_Toc125904394"/>
      <w:bookmarkStart w:id="28" w:name="_Toc314817936"/>
      <w:r>
        <w:rPr>
          <w:rFonts w:hint="default" w:ascii="Times New Roman" w:hAnsi="Times New Roman" w:eastAsia="方正仿宋_GBK" w:cs="Times New Roman"/>
          <w:b/>
          <w:bCs/>
          <w:color w:val="auto"/>
          <w:sz w:val="28"/>
          <w:szCs w:val="28"/>
          <w:highlight w:val="none"/>
          <w:lang w:val="en-US" w:eastAsia="zh-CN"/>
        </w:rPr>
        <w:t>5</w:t>
      </w:r>
      <w:r>
        <w:rPr>
          <w:rFonts w:hint="default" w:ascii="Times New Roman" w:hAnsi="Times New Roman" w:eastAsia="方正仿宋_GBK" w:cs="Times New Roman"/>
          <w:b/>
          <w:bCs/>
          <w:color w:val="auto"/>
          <w:sz w:val="28"/>
          <w:szCs w:val="28"/>
          <w:highlight w:val="none"/>
        </w:rPr>
        <w:t>.2分值构成与评分标准</w:t>
      </w:r>
      <w:bookmarkEnd w:id="25"/>
      <w:bookmarkEnd w:id="26"/>
      <w:bookmarkEnd w:id="27"/>
      <w:bookmarkEnd w:id="28"/>
    </w:p>
    <w:p w14:paraId="11D6066F">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bookmarkStart w:id="29" w:name="_Hlk48744311"/>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.2.1 分值构成</w:t>
      </w:r>
    </w:p>
    <w:p w14:paraId="0B37A4D8">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投标报价部分</w:t>
      </w:r>
      <w:r>
        <w:rPr>
          <w:rFonts w:hint="default" w:ascii="Times New Roman" w:hAnsi="Times New Roman" w:eastAsia="方正仿宋_GBK" w:cs="Times New Roman"/>
          <w:color w:val="auto"/>
          <w:sz w:val="28"/>
          <w:szCs w:val="28"/>
          <w:highlight w:val="none"/>
        </w:rPr>
        <w:t>：见评标办法前附表；</w:t>
      </w:r>
    </w:p>
    <w:p w14:paraId="37C94998">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（2）技术部分：见评标办法前附表；</w:t>
      </w:r>
    </w:p>
    <w:p w14:paraId="036F61A5">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商务部分：</w:t>
      </w:r>
      <w:r>
        <w:rPr>
          <w:rFonts w:hint="default" w:ascii="Times New Roman" w:hAnsi="Times New Roman" w:eastAsia="方正仿宋_GBK" w:cs="Times New Roman"/>
          <w:color w:val="auto"/>
          <w:sz w:val="28"/>
          <w:szCs w:val="28"/>
          <w:highlight w:val="none"/>
        </w:rPr>
        <w:t>见评标办法前附表</w:t>
      </w:r>
      <w:r>
        <w:rPr>
          <w:rFonts w:hint="default" w:ascii="Times New Roman" w:hAnsi="Times New Roman" w:eastAsia="方正仿宋_GBK" w:cs="Times New Roman"/>
          <w:color w:val="auto"/>
          <w:sz w:val="28"/>
          <w:szCs w:val="28"/>
          <w:highlight w:val="none"/>
          <w:lang w:eastAsia="zh-CN"/>
        </w:rPr>
        <w:t>。</w:t>
      </w:r>
    </w:p>
    <w:p w14:paraId="5ADB367C">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.2.2评分标准</w:t>
      </w:r>
    </w:p>
    <w:p w14:paraId="59405627">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按招标文件中规定的评标方法和标准，对资格评审和符合性评审合格的投标文件</w:t>
      </w:r>
      <w:r>
        <w:rPr>
          <w:rFonts w:hint="default" w:ascii="Times New Roman" w:hAnsi="Times New Roman" w:eastAsia="方正仿宋_GBK" w:cs="Times New Roman"/>
          <w:color w:val="auto"/>
          <w:sz w:val="28"/>
          <w:szCs w:val="28"/>
          <w:highlight w:val="none"/>
          <w:lang w:val="en-US" w:eastAsia="zh-CN"/>
        </w:rPr>
        <w:t>报价</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技术</w:t>
      </w:r>
      <w:r>
        <w:rPr>
          <w:rFonts w:hint="default" w:ascii="Times New Roman" w:hAnsi="Times New Roman" w:eastAsia="方正仿宋_GBK" w:cs="Times New Roman"/>
          <w:color w:val="auto"/>
          <w:sz w:val="28"/>
          <w:szCs w:val="28"/>
          <w:highlight w:val="none"/>
          <w:lang w:val="en-US" w:eastAsia="zh-CN"/>
        </w:rPr>
        <w:t>和商务</w:t>
      </w:r>
      <w:r>
        <w:rPr>
          <w:rFonts w:hint="default" w:ascii="Times New Roman" w:hAnsi="Times New Roman" w:eastAsia="方正仿宋_GBK" w:cs="Times New Roman"/>
          <w:color w:val="auto"/>
          <w:sz w:val="28"/>
          <w:szCs w:val="28"/>
          <w:highlight w:val="none"/>
        </w:rPr>
        <w:t>进行评估，综合比较与评价。</w:t>
      </w:r>
    </w:p>
    <w:p w14:paraId="67F46F6A">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w:t>
      </w:r>
      <w:r>
        <w:rPr>
          <w:rFonts w:hint="default" w:ascii="Times New Roman" w:hAnsi="Times New Roman" w:eastAsia="方正仿宋_GBK" w:cs="Times New Roman"/>
          <w:color w:val="auto"/>
          <w:sz w:val="28"/>
          <w:szCs w:val="28"/>
          <w:highlight w:val="none"/>
          <w:lang w:val="en-US" w:eastAsia="zh-CN"/>
        </w:rPr>
        <w:t>投标报价部分</w:t>
      </w:r>
      <w:r>
        <w:rPr>
          <w:rFonts w:hint="default" w:ascii="Times New Roman" w:hAnsi="Times New Roman" w:eastAsia="方正仿宋_GBK" w:cs="Times New Roman"/>
          <w:color w:val="auto"/>
          <w:sz w:val="28"/>
          <w:szCs w:val="28"/>
          <w:highlight w:val="none"/>
        </w:rPr>
        <w:t>评分标准：见评标办法前附表；</w:t>
      </w:r>
    </w:p>
    <w:p w14:paraId="441C9F1F">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（2）技术部分评分标准：见评标办法前附表；</w:t>
      </w:r>
      <w:bookmarkEnd w:id="29"/>
    </w:p>
    <w:p w14:paraId="48780D4F">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商务部分</w:t>
      </w:r>
      <w:r>
        <w:rPr>
          <w:rFonts w:hint="default" w:ascii="Times New Roman" w:hAnsi="Times New Roman" w:eastAsia="方正仿宋_GBK" w:cs="Times New Roman"/>
          <w:color w:val="auto"/>
          <w:sz w:val="28"/>
          <w:szCs w:val="28"/>
          <w:highlight w:val="none"/>
        </w:rPr>
        <w:t>评分标准</w:t>
      </w:r>
      <w:r>
        <w:rPr>
          <w:rFonts w:hint="default"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rPr>
        <w:t>见评标办法前附表</w:t>
      </w:r>
      <w:r>
        <w:rPr>
          <w:rFonts w:hint="default" w:ascii="Times New Roman" w:hAnsi="Times New Roman" w:eastAsia="方正仿宋_GBK" w:cs="Times New Roman"/>
          <w:color w:val="auto"/>
          <w:sz w:val="28"/>
          <w:szCs w:val="28"/>
          <w:highlight w:val="none"/>
          <w:lang w:eastAsia="zh-CN"/>
        </w:rPr>
        <w:t>。</w:t>
      </w:r>
    </w:p>
    <w:p w14:paraId="5E892178">
      <w:pPr>
        <w:pStyle w:val="5"/>
        <w:pageBreakBefore w:val="0"/>
        <w:numPr>
          <w:ilvl w:val="1"/>
          <w:numId w:val="0"/>
        </w:numPr>
        <w:tabs>
          <w:tab w:val="left" w:pos="360"/>
          <w:tab w:val="left" w:pos="1381"/>
        </w:tabs>
        <w:kinsoku/>
        <w:wordWrap/>
        <w:overflowPunct/>
        <w:topLinePunct w:val="0"/>
        <w:bidi w:val="0"/>
        <w:spacing w:before="0" w:after="0" w:line="460" w:lineRule="exact"/>
        <w:textAlignment w:val="auto"/>
        <w:outlineLvl w:val="3"/>
        <w:rPr>
          <w:rFonts w:hint="default" w:ascii="Times New Roman" w:hAnsi="Times New Roman" w:eastAsia="方正仿宋_GBK" w:cs="Times New Roman"/>
          <w:color w:val="auto"/>
          <w:sz w:val="28"/>
          <w:szCs w:val="28"/>
          <w:highlight w:val="none"/>
        </w:rPr>
      </w:pPr>
      <w:bookmarkStart w:id="30" w:name="_Toc21683"/>
      <w:bookmarkStart w:id="31" w:name="_Toc125986530"/>
      <w:bookmarkStart w:id="32" w:name="_Toc1683"/>
      <w:bookmarkStart w:id="33" w:name="_Toc508191817"/>
      <w:bookmarkStart w:id="34" w:name="_Toc314817937"/>
      <w:bookmarkStart w:id="35" w:name="_Toc326218115"/>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 评标程序</w:t>
      </w:r>
      <w:bookmarkEnd w:id="30"/>
      <w:bookmarkEnd w:id="31"/>
      <w:bookmarkEnd w:id="32"/>
      <w:bookmarkEnd w:id="33"/>
      <w:bookmarkEnd w:id="34"/>
      <w:bookmarkEnd w:id="35"/>
    </w:p>
    <w:p w14:paraId="6B2C6B52">
      <w:pPr>
        <w:pStyle w:val="4"/>
        <w:pageBreakBefore w:val="0"/>
        <w:numPr>
          <w:ilvl w:val="2"/>
          <w:numId w:val="0"/>
        </w:numPr>
        <w:tabs>
          <w:tab w:val="left" w:pos="360"/>
          <w:tab w:val="left" w:pos="900"/>
        </w:tabs>
        <w:kinsoku/>
        <w:wordWrap/>
        <w:overflowPunct/>
        <w:topLinePunct w:val="0"/>
        <w:bidi w:val="0"/>
        <w:spacing w:before="0" w:after="0" w:line="460" w:lineRule="exact"/>
        <w:ind w:firstLine="562" w:firstLineChars="200"/>
        <w:textAlignment w:val="auto"/>
        <w:rPr>
          <w:rFonts w:hint="default" w:ascii="Times New Roman" w:hAnsi="Times New Roman" w:eastAsia="方正仿宋_GBK" w:cs="Times New Roman"/>
          <w:color w:val="auto"/>
          <w:sz w:val="28"/>
          <w:szCs w:val="28"/>
          <w:highlight w:val="none"/>
        </w:rPr>
      </w:pPr>
      <w:bookmarkStart w:id="36" w:name="_Toc125986531"/>
      <w:bookmarkStart w:id="37" w:name="_Toc125904396"/>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.1符合性评审</w:t>
      </w:r>
      <w:bookmarkEnd w:id="36"/>
      <w:bookmarkEnd w:id="37"/>
    </w:p>
    <w:p w14:paraId="7763CF36">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依据本章第</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项规定的标准对投标文件进行符合性评审。有一项不符合评审标准的，作废标处理。</w:t>
      </w:r>
    </w:p>
    <w:p w14:paraId="4CD04359">
      <w:pPr>
        <w:pStyle w:val="4"/>
        <w:pageBreakBefore w:val="0"/>
        <w:numPr>
          <w:ilvl w:val="2"/>
          <w:numId w:val="0"/>
        </w:numPr>
        <w:tabs>
          <w:tab w:val="left" w:pos="360"/>
          <w:tab w:val="left" w:pos="900"/>
        </w:tabs>
        <w:kinsoku/>
        <w:wordWrap/>
        <w:overflowPunct/>
        <w:topLinePunct w:val="0"/>
        <w:bidi w:val="0"/>
        <w:spacing w:before="0" w:after="0" w:line="460" w:lineRule="exact"/>
        <w:ind w:firstLine="562" w:firstLineChars="200"/>
        <w:textAlignment w:val="auto"/>
        <w:rPr>
          <w:rFonts w:hint="default" w:ascii="Times New Roman" w:hAnsi="Times New Roman" w:eastAsia="方正仿宋_GBK" w:cs="Times New Roman"/>
          <w:color w:val="auto"/>
          <w:sz w:val="28"/>
          <w:szCs w:val="28"/>
          <w:highlight w:val="none"/>
        </w:rPr>
      </w:pPr>
      <w:bookmarkStart w:id="38" w:name="_Toc314817939"/>
      <w:bookmarkStart w:id="39" w:name="_Toc326218117"/>
      <w:bookmarkStart w:id="40" w:name="_Toc125986532"/>
      <w:bookmarkStart w:id="41" w:name="_Toc125904397"/>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.2 详细评审</w:t>
      </w:r>
      <w:bookmarkEnd w:id="38"/>
      <w:bookmarkEnd w:id="39"/>
      <w:bookmarkEnd w:id="40"/>
      <w:bookmarkEnd w:id="41"/>
    </w:p>
    <w:p w14:paraId="1882C343">
      <w:pPr>
        <w:pStyle w:val="9"/>
        <w:pageBreakBefore w:val="0"/>
        <w:tabs>
          <w:tab w:val="left" w:pos="2472"/>
        </w:tabs>
        <w:kinsoku/>
        <w:wordWrap/>
        <w:overflowPunct/>
        <w:topLinePunct w:val="0"/>
        <w:bidi w:val="0"/>
        <w:spacing w:line="460" w:lineRule="exact"/>
        <w:ind w:firstLine="562" w:firstLineChars="200"/>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6</w:t>
      </w:r>
      <w:r>
        <w:rPr>
          <w:rFonts w:hint="default" w:ascii="Times New Roman" w:hAnsi="Times New Roman" w:eastAsia="方正仿宋_GBK" w:cs="Times New Roman"/>
          <w:b/>
          <w:bCs/>
          <w:color w:val="auto"/>
          <w:sz w:val="28"/>
          <w:szCs w:val="28"/>
          <w:highlight w:val="none"/>
        </w:rPr>
        <w:t>.2.1 评标委员会按本章第</w:t>
      </w:r>
      <w:r>
        <w:rPr>
          <w:rFonts w:hint="default" w:ascii="Times New Roman" w:hAnsi="Times New Roman" w:eastAsia="方正仿宋_GBK" w:cs="Times New Roman"/>
          <w:b/>
          <w:bCs/>
          <w:color w:val="auto"/>
          <w:sz w:val="28"/>
          <w:szCs w:val="28"/>
          <w:highlight w:val="none"/>
          <w:lang w:val="en-US" w:eastAsia="zh-CN"/>
        </w:rPr>
        <w:t>5</w:t>
      </w:r>
      <w:r>
        <w:rPr>
          <w:rFonts w:hint="default" w:ascii="Times New Roman" w:hAnsi="Times New Roman" w:eastAsia="方正仿宋_GBK" w:cs="Times New Roman"/>
          <w:b/>
          <w:bCs/>
          <w:color w:val="auto"/>
          <w:sz w:val="28"/>
          <w:szCs w:val="28"/>
          <w:highlight w:val="none"/>
        </w:rPr>
        <w:t>.2款规定的量化因素和分值进行打分，并计算出投标人的评标总得分。</w:t>
      </w:r>
    </w:p>
    <w:p w14:paraId="73EB6B52">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（1）按本章第</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.2.2（1）目规定的评分因素和分值对商务部分计算出得分F1；</w:t>
      </w:r>
    </w:p>
    <w:p w14:paraId="5C6774DA">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（2）按本章第</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.2.2（2）目规定的评分因素和分值对技术部分计算出得分F2；</w:t>
      </w:r>
    </w:p>
    <w:p w14:paraId="6AC6A36A">
      <w:pPr>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）按本章第</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.2.2（</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）目规定的评分因素和分值对技术部分计算出得分F</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w:t>
      </w:r>
    </w:p>
    <w:p w14:paraId="3D51B057">
      <w:pPr>
        <w:pStyle w:val="9"/>
        <w:pageBreakBefore w:val="0"/>
        <w:tabs>
          <w:tab w:val="left" w:pos="2472"/>
        </w:tabs>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）按本章第</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.2.</w:t>
      </w:r>
      <w:r>
        <w:rPr>
          <w:rFonts w:hint="default"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项所列公式计算评标总得分。</w:t>
      </w:r>
    </w:p>
    <w:p w14:paraId="531DDAED">
      <w:pPr>
        <w:pStyle w:val="9"/>
        <w:pageBreakBefore w:val="0"/>
        <w:tabs>
          <w:tab w:val="left" w:pos="2472"/>
        </w:tabs>
        <w:kinsoku/>
        <w:wordWrap/>
        <w:overflowPunct/>
        <w:topLinePunct w:val="0"/>
        <w:bidi w:val="0"/>
        <w:spacing w:line="460" w:lineRule="exact"/>
        <w:ind w:firstLine="562" w:firstLineChars="200"/>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lang w:val="en-US" w:eastAsia="zh-CN"/>
        </w:rPr>
        <w:t>6</w:t>
      </w:r>
      <w:r>
        <w:rPr>
          <w:rFonts w:hint="default" w:ascii="Times New Roman" w:hAnsi="Times New Roman" w:eastAsia="方正仿宋_GBK" w:cs="Times New Roman"/>
          <w:b/>
          <w:bCs/>
          <w:color w:val="auto"/>
          <w:sz w:val="28"/>
          <w:szCs w:val="28"/>
          <w:highlight w:val="none"/>
        </w:rPr>
        <w:t>.2.2 投标文件如果出现计算或表达上的错误，修正错误的原则如下：</w:t>
      </w:r>
    </w:p>
    <w:p w14:paraId="72B2BA14">
      <w:pPr>
        <w:pStyle w:val="9"/>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（一）投标文件中开标一览表（报价表）内容与投标文件中相应内容不一致的，以开标一览表（报价表）为准；</w:t>
      </w:r>
    </w:p>
    <w:p w14:paraId="25D92A73">
      <w:pPr>
        <w:pStyle w:val="9"/>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（二）大写金额和小写金额不一致的，以大写金额为准；</w:t>
      </w:r>
    </w:p>
    <w:p w14:paraId="7B9EF083">
      <w:pPr>
        <w:pStyle w:val="9"/>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（三）单价金额小数点或者百分比有明显错位的，以开标一览表的总价为准，并修改单价；</w:t>
      </w:r>
    </w:p>
    <w:p w14:paraId="023D7EDD">
      <w:pPr>
        <w:pStyle w:val="9"/>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（四）总价金额与按单价汇总金额不一致的，以单价金额计算结果为准。</w:t>
      </w:r>
    </w:p>
    <w:p w14:paraId="47418C61">
      <w:pPr>
        <w:pStyle w:val="9"/>
        <w:pageBreakBefore w:val="0"/>
        <w:kinsoku/>
        <w:wordWrap/>
        <w:overflowPunct/>
        <w:topLinePunct w:val="0"/>
        <w:bidi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同时出现两种以上不一致的，按照前款规定的顺序修正。修正后的报价按照本章</w:t>
      </w: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.2款的规定经投标人确认后产生约束力，投标人不确认的，其投标无效。</w:t>
      </w:r>
    </w:p>
    <w:p w14:paraId="55990F9A">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.2.3技术部分</w:t>
      </w:r>
      <w:r>
        <w:rPr>
          <w:rFonts w:hint="default" w:ascii="Times New Roman" w:hAnsi="Times New Roman" w:eastAsia="方正仿宋_GBK" w:cs="Times New Roman"/>
          <w:color w:val="auto"/>
          <w:sz w:val="28"/>
          <w:szCs w:val="28"/>
          <w:highlight w:val="none"/>
          <w:lang w:val="en-US" w:eastAsia="zh-CN"/>
        </w:rPr>
        <w:t>和商务部分</w:t>
      </w:r>
      <w:r>
        <w:rPr>
          <w:rFonts w:hint="default" w:ascii="Times New Roman" w:hAnsi="Times New Roman" w:eastAsia="方正仿宋_GBK" w:cs="Times New Roman"/>
          <w:color w:val="auto"/>
          <w:sz w:val="28"/>
          <w:szCs w:val="28"/>
          <w:highlight w:val="none"/>
        </w:rPr>
        <w:t>得分由评标委员会成员独立评分，计算各投标人得分的算术平均值计入各投标人总分。评分分值计算保留小数点后两位，小数点后第三位“四舍五入”。</w:t>
      </w:r>
    </w:p>
    <w:p w14:paraId="08374955">
      <w:pPr>
        <w:pageBreakBefore w:val="0"/>
        <w:kinsoku/>
        <w:wordWrap/>
        <w:overflowPunct/>
        <w:topLinePunct w:val="0"/>
        <w:bidi w:val="0"/>
        <w:spacing w:line="460" w:lineRule="exact"/>
        <w:ind w:firstLine="562" w:firstLineChars="200"/>
        <w:jc w:val="left"/>
        <w:textAlignment w:val="auto"/>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w:t>
      </w:r>
      <w:r>
        <w:rPr>
          <w:rFonts w:hint="default" w:ascii="Times New Roman" w:hAnsi="Times New Roman" w:eastAsia="方正仿宋_GBK" w:cs="Times New Roman"/>
          <w:b/>
          <w:bCs/>
          <w:color w:val="auto"/>
          <w:sz w:val="28"/>
          <w:szCs w:val="28"/>
          <w:highlight w:val="none"/>
          <w:lang w:val="en-US" w:eastAsia="zh-CN"/>
        </w:rPr>
        <w:t>6</w:t>
      </w:r>
      <w:r>
        <w:rPr>
          <w:rFonts w:hint="default" w:ascii="Times New Roman" w:hAnsi="Times New Roman" w:eastAsia="方正仿宋_GBK" w:cs="Times New Roman"/>
          <w:b/>
          <w:bCs/>
          <w:color w:val="auto"/>
          <w:sz w:val="28"/>
          <w:szCs w:val="28"/>
          <w:highlight w:val="none"/>
        </w:rPr>
        <w:t>.2.4评标委员会认为投标人的报价明显低于其他通过符合性审查投标人的报价，有可能影响</w:t>
      </w:r>
      <w:r>
        <w:rPr>
          <w:rFonts w:hint="default" w:ascii="Times New Roman" w:hAnsi="Times New Roman" w:eastAsia="方正仿宋_GBK" w:cs="Times New Roman"/>
          <w:b/>
          <w:bCs/>
          <w:color w:val="auto"/>
          <w:sz w:val="28"/>
          <w:szCs w:val="28"/>
          <w:highlight w:val="none"/>
          <w:lang w:val="en-US" w:eastAsia="zh-CN"/>
        </w:rPr>
        <w:t>服务</w:t>
      </w:r>
      <w:r>
        <w:rPr>
          <w:rFonts w:hint="default" w:ascii="Times New Roman" w:hAnsi="Times New Roman" w:eastAsia="方正仿宋_GBK" w:cs="Times New Roman"/>
          <w:b/>
          <w:bCs/>
          <w:color w:val="auto"/>
          <w:sz w:val="28"/>
          <w:szCs w:val="28"/>
          <w:highlight w:val="none"/>
        </w:rPr>
        <w:t>质量或者不能诚信履约的，应当要求其在评标现场合理的时间内提供书面说明，必要时提交相关证明材料；投标人不能证明其报价合理性的，评标委员会应当将其作为无效投标处理。</w:t>
      </w:r>
    </w:p>
    <w:p w14:paraId="0D2603DF">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2.5评标委员会成员要依法独立评审，并对评审意见承担个人责任。评标委员会成员对需要共同认定的事项存在争议的，按照少数服从多数的原则做出结论。持不同意见的评标委员会成员应当在评标报告上签署不同意见并说明理由，否则视为同意。</w:t>
      </w:r>
    </w:p>
    <w:p w14:paraId="5ADF1450">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.2.6评标中若遇特殊问题，由评标委员会根据有关法律、法规研究决定。</w:t>
      </w:r>
    </w:p>
    <w:p w14:paraId="615C4B40">
      <w:pPr>
        <w:pStyle w:val="4"/>
        <w:pageBreakBefore w:val="0"/>
        <w:numPr>
          <w:ilvl w:val="2"/>
          <w:numId w:val="0"/>
        </w:numPr>
        <w:tabs>
          <w:tab w:val="left" w:pos="360"/>
          <w:tab w:val="left" w:pos="900"/>
        </w:tabs>
        <w:kinsoku/>
        <w:wordWrap/>
        <w:overflowPunct/>
        <w:topLinePunct w:val="0"/>
        <w:bidi w:val="0"/>
        <w:spacing w:before="0" w:after="0" w:line="460" w:lineRule="exact"/>
        <w:ind w:firstLine="562" w:firstLineChars="200"/>
        <w:textAlignment w:val="auto"/>
        <w:rPr>
          <w:rFonts w:hint="default" w:ascii="Times New Roman" w:hAnsi="Times New Roman" w:eastAsia="方正仿宋_GBK" w:cs="Times New Roman"/>
          <w:color w:val="auto"/>
          <w:sz w:val="28"/>
          <w:szCs w:val="28"/>
          <w:highlight w:val="none"/>
        </w:rPr>
      </w:pPr>
      <w:bookmarkStart w:id="42" w:name="_Toc125986533"/>
      <w:bookmarkStart w:id="43" w:name="_Toc314817940"/>
      <w:bookmarkStart w:id="44" w:name="_Toc326218118"/>
      <w:bookmarkStart w:id="45" w:name="_Toc125904398"/>
      <w:bookmarkStart w:id="46" w:name="_Toc326218119"/>
      <w:bookmarkStart w:id="47" w:name="_Toc125904399"/>
      <w:bookmarkStart w:id="48" w:name="_Toc314817941"/>
      <w:bookmarkStart w:id="49" w:name="_Toc125986534"/>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.3 投标文件的澄清和补正统计分数原则</w:t>
      </w:r>
      <w:bookmarkEnd w:id="42"/>
      <w:bookmarkEnd w:id="43"/>
      <w:bookmarkEnd w:id="44"/>
      <w:bookmarkEnd w:id="45"/>
    </w:p>
    <w:p w14:paraId="496D8B65">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3.1在评标过程中，评标委员会可以书面形式要求投标人对所提交的投标文件中含义不明确、同类问题表述不一致或者有明显文字和计算错误的内容，进行书面澄清或说明。评标委员会不接受投标人主动提出的澄清、说明。</w:t>
      </w:r>
    </w:p>
    <w:p w14:paraId="7EA7D22B">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3.2投标人的澄清、说明应当采用书面形式，由法定代表人或其授权的代表签字，澄清事项不得超出投标文件的范围并不得改变投标文件的实质性内容（算术性错误修正的除外）。投标人的书面澄清、说明属于投标文件的组成部分。</w:t>
      </w:r>
    </w:p>
    <w:p w14:paraId="4315DFD4">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.3.3评标委员会对投标人提交的澄清、说明有疑问的，可以要求投标人进一步澄清、说明。</w:t>
      </w:r>
    </w:p>
    <w:p w14:paraId="49069BDB">
      <w:pPr>
        <w:pageBreakBefore w:val="0"/>
        <w:tabs>
          <w:tab w:val="left" w:pos="1634"/>
          <w:tab w:val="left" w:pos="3373"/>
        </w:tabs>
        <w:kinsoku/>
        <w:wordWrap/>
        <w:overflowPunct/>
        <w:topLinePunct w:val="0"/>
        <w:bidi w:val="0"/>
        <w:spacing w:line="460" w:lineRule="exact"/>
        <w:ind w:firstLine="562"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lang w:val="en-US" w:eastAsia="zh-CN"/>
        </w:rPr>
        <w:t>6.3</w:t>
      </w:r>
      <w:r>
        <w:rPr>
          <w:rFonts w:hint="default" w:ascii="Times New Roman" w:hAnsi="Times New Roman" w:eastAsia="方正仿宋_GBK" w:cs="Times New Roman"/>
          <w:b/>
          <w:color w:val="auto"/>
          <w:sz w:val="28"/>
          <w:szCs w:val="28"/>
          <w:highlight w:val="none"/>
        </w:rPr>
        <w:t>统分原则</w:t>
      </w:r>
    </w:p>
    <w:p w14:paraId="6AA8A8FC">
      <w:pPr>
        <w:pStyle w:val="8"/>
        <w:pageBreakBefore w:val="0"/>
        <w:tabs>
          <w:tab w:val="left" w:pos="840"/>
        </w:tabs>
        <w:kinsoku/>
        <w:wordWrap/>
        <w:overflowPunct/>
        <w:topLinePunct w:val="0"/>
        <w:bidi w:val="0"/>
        <w:spacing w:after="0" w:line="460" w:lineRule="exact"/>
        <w:ind w:left="0" w:leftChars="0" w:firstLine="560" w:firstLineChars="200"/>
        <w:textAlignment w:val="auto"/>
        <w:rPr>
          <w:rFonts w:hint="default" w:ascii="Times New Roman" w:hAnsi="Times New Roman" w:eastAsia="方正仿宋_GBK" w:cs="Times New Roman"/>
          <w:color w:val="auto"/>
          <w:sz w:val="28"/>
          <w:szCs w:val="28"/>
          <w:highlight w:val="none"/>
          <w:lang w:val="en-US" w:eastAsia="en-US" w:bidi="ar-SA"/>
        </w:rPr>
      </w:pPr>
      <w:r>
        <w:rPr>
          <w:rFonts w:hint="default" w:ascii="Times New Roman" w:hAnsi="Times New Roman" w:eastAsia="方正仿宋_GBK" w:cs="Times New Roman"/>
          <w:color w:val="auto"/>
          <w:sz w:val="28"/>
          <w:szCs w:val="28"/>
          <w:highlight w:val="none"/>
          <w:lang w:val="en-US" w:eastAsia="zh-CN" w:bidi="ar-SA"/>
        </w:rPr>
        <w:t>6.3.1</w:t>
      </w:r>
      <w:r>
        <w:rPr>
          <w:rFonts w:hint="default" w:ascii="Times New Roman" w:hAnsi="Times New Roman" w:eastAsia="方正仿宋_GBK" w:cs="Times New Roman"/>
          <w:color w:val="auto"/>
          <w:sz w:val="28"/>
          <w:szCs w:val="28"/>
          <w:highlight w:val="none"/>
          <w:lang w:val="en-US" w:eastAsia="en-US" w:bidi="ar-SA"/>
        </w:rPr>
        <w:t>评委应首先对各</w:t>
      </w:r>
      <w:r>
        <w:rPr>
          <w:rFonts w:hint="default" w:ascii="Times New Roman" w:hAnsi="Times New Roman" w:eastAsia="方正仿宋_GBK" w:cs="Times New Roman"/>
          <w:color w:val="auto"/>
          <w:sz w:val="28"/>
          <w:szCs w:val="28"/>
          <w:highlight w:val="none"/>
          <w:lang w:val="en-US" w:eastAsia="zh-CN" w:bidi="ar-SA"/>
        </w:rPr>
        <w:t>投标人的投标文件</w:t>
      </w:r>
      <w:r>
        <w:rPr>
          <w:rFonts w:hint="default" w:ascii="Times New Roman" w:hAnsi="Times New Roman" w:eastAsia="方正仿宋_GBK" w:cs="Times New Roman"/>
          <w:color w:val="auto"/>
          <w:sz w:val="28"/>
          <w:szCs w:val="28"/>
          <w:highlight w:val="none"/>
          <w:lang w:val="en-US" w:eastAsia="en-US" w:bidi="ar-SA"/>
        </w:rPr>
        <w:t>进行评审，写出书面意见并按招标文件规定分值评分，并由各评委自主评分并签字确认。各评委的评分应在评标委员会内进行公示，并进行汇总。</w:t>
      </w:r>
    </w:p>
    <w:p w14:paraId="52D87251">
      <w:pPr>
        <w:pStyle w:val="4"/>
        <w:pageBreakBefore w:val="0"/>
        <w:numPr>
          <w:ilvl w:val="2"/>
          <w:numId w:val="0"/>
        </w:numPr>
        <w:tabs>
          <w:tab w:val="left" w:pos="360"/>
          <w:tab w:val="left" w:pos="900"/>
        </w:tabs>
        <w:kinsoku/>
        <w:wordWrap/>
        <w:overflowPunct/>
        <w:topLinePunct w:val="0"/>
        <w:bidi w:val="0"/>
        <w:spacing w:before="0" w:after="0" w:line="460" w:lineRule="exact"/>
        <w:ind w:firstLine="562" w:firstLineChars="20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bidi="ar-SA"/>
        </w:rPr>
        <w:t>6.3.2</w:t>
      </w:r>
      <w:r>
        <w:rPr>
          <w:rFonts w:hint="default" w:ascii="Times New Roman" w:hAnsi="Times New Roman" w:eastAsia="方正仿宋_GBK" w:cs="Times New Roman"/>
          <w:color w:val="auto"/>
          <w:sz w:val="28"/>
          <w:szCs w:val="28"/>
          <w:highlight w:val="none"/>
          <w:lang w:val="en-US" w:eastAsia="en-US" w:bidi="ar-SA"/>
        </w:rPr>
        <w:t>统分原则：所有评委得分的算数平均值为</w:t>
      </w:r>
      <w:r>
        <w:rPr>
          <w:rFonts w:hint="default" w:ascii="Times New Roman" w:hAnsi="Times New Roman" w:eastAsia="方正仿宋_GBK" w:cs="Times New Roman"/>
          <w:color w:val="auto"/>
          <w:sz w:val="28"/>
          <w:szCs w:val="28"/>
          <w:highlight w:val="none"/>
          <w:lang w:val="en-US" w:eastAsia="zh-CN" w:bidi="ar-SA"/>
        </w:rPr>
        <w:t>投标人</w:t>
      </w:r>
      <w:r>
        <w:rPr>
          <w:rFonts w:hint="default" w:ascii="Times New Roman" w:hAnsi="Times New Roman" w:eastAsia="方正仿宋_GBK" w:cs="Times New Roman"/>
          <w:color w:val="auto"/>
          <w:sz w:val="28"/>
          <w:szCs w:val="28"/>
          <w:highlight w:val="none"/>
          <w:lang w:val="en-US" w:eastAsia="en-US" w:bidi="ar-SA"/>
        </w:rPr>
        <w:t>的最终得分（得分保留小数点后两位）。</w:t>
      </w:r>
    </w:p>
    <w:p w14:paraId="43225F69">
      <w:pPr>
        <w:pStyle w:val="4"/>
        <w:pageBreakBefore w:val="0"/>
        <w:numPr>
          <w:ilvl w:val="2"/>
          <w:numId w:val="0"/>
        </w:numPr>
        <w:tabs>
          <w:tab w:val="left" w:pos="360"/>
          <w:tab w:val="left" w:pos="900"/>
        </w:tabs>
        <w:kinsoku/>
        <w:wordWrap/>
        <w:overflowPunct/>
        <w:topLinePunct w:val="0"/>
        <w:bidi w:val="0"/>
        <w:spacing w:before="0" w:after="0" w:line="460" w:lineRule="exact"/>
        <w:ind w:firstLine="562"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.4 评标结果</w:t>
      </w:r>
      <w:bookmarkEnd w:id="46"/>
      <w:bookmarkEnd w:id="47"/>
      <w:bookmarkEnd w:id="48"/>
      <w:bookmarkEnd w:id="49"/>
    </w:p>
    <w:p w14:paraId="12D93A2E">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.4.1评标委员会对满足招标文件资格评审及符合性评审要求的投标文件，</w:t>
      </w:r>
      <w:bookmarkStart w:id="50" w:name="_Hlk49243521"/>
      <w:r>
        <w:rPr>
          <w:rFonts w:hint="default" w:ascii="Times New Roman" w:hAnsi="Times New Roman" w:eastAsia="方正仿宋_GBK" w:cs="Times New Roman"/>
          <w:color w:val="auto"/>
          <w:sz w:val="28"/>
          <w:szCs w:val="28"/>
          <w:highlight w:val="none"/>
        </w:rPr>
        <w:t>按照本章前附表规定的评分标准</w:t>
      </w:r>
      <w:bookmarkEnd w:id="50"/>
      <w:r>
        <w:rPr>
          <w:rFonts w:hint="default" w:ascii="Times New Roman" w:hAnsi="Times New Roman" w:eastAsia="方正仿宋_GBK" w:cs="Times New Roman"/>
          <w:color w:val="auto"/>
          <w:sz w:val="28"/>
          <w:szCs w:val="28"/>
          <w:highlight w:val="none"/>
        </w:rPr>
        <w:t>进行打分。</w:t>
      </w:r>
    </w:p>
    <w:p w14:paraId="1E5392ED">
      <w:pPr>
        <w:pageBreakBefore w:val="0"/>
        <w:kinsoku/>
        <w:wordWrap/>
        <w:overflowPunct/>
        <w:topLinePunct w:val="0"/>
        <w:bidi w:val="0"/>
        <w:adjustRightInd w:val="0"/>
        <w:spacing w:line="4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评评标委员会对满足招标文件全部实质性要求（即通过资格性评审及符合性评审）的投标文件，按照本章前附表规定的评分标准进行打分，并按评标总得分计算公式计算评标总得分，按总得分由高到低的顺序推荐3名中标候选人；评标总得分相等时，按投标报价由低到高顺序排列；评标总得分相等且投标报价相同时，按技术部分得分高低顺序排列；所有得分均相等的，按技术指标高优先、质保期长优先、交货时间短优先、故障到达时间短优先，投标产品中提供政府非强制采购节能、环保产品的优先的顺序推荐。若以上政府采购政策的顺序排列相等，则评标委员会采取投票表决的方式推荐中标候选人。</w:t>
      </w:r>
    </w:p>
    <w:p w14:paraId="6BA093C4">
      <w:pPr>
        <w:pageBreakBefore w:val="0"/>
        <w:kinsoku/>
        <w:wordWrap/>
        <w:overflowPunct/>
        <w:topLinePunct w:val="0"/>
        <w:bidi w:val="0"/>
        <w:spacing w:line="460" w:lineRule="exact"/>
        <w:ind w:firstLine="562"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b/>
          <w:color w:val="auto"/>
          <w:sz w:val="28"/>
          <w:szCs w:val="28"/>
          <w:highlight w:val="none"/>
        </w:rPr>
        <w:t>本项目评标报告由评标委员会全体成员签字。对评标结论持有异议的评标委员会成员可以以书面方式阐述其不同意见和理由。评标委员会成员拒绝在评标报告上签字且不陈述其不同意见和理由的，视为同意评标结论。</w:t>
      </w:r>
    </w:p>
    <w:p w14:paraId="6A3C4F1F">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.4.2采购人根据评标委员会提出的书面评标报告和推荐的中标候选人名单，确定中标人。</w:t>
      </w:r>
    </w:p>
    <w:p w14:paraId="11F30BC9">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.4.3评标委员会发现</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存在歧义、重大缺陷导致评审工作无法进行，或者</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内容违反国家有关规定的，要停止评审工作并向采购人或采购代理机构书面说明情况，采购人或采购代理机构应当修改</w:t>
      </w:r>
      <w:r>
        <w:rPr>
          <w:rFonts w:hint="default" w:ascii="Times New Roman" w:hAnsi="Times New Roman" w:eastAsia="方正仿宋_GBK" w:cs="Times New Roman"/>
          <w:color w:val="auto"/>
          <w:sz w:val="28"/>
          <w:szCs w:val="28"/>
          <w:highlight w:val="none"/>
          <w:lang w:eastAsia="zh-CN"/>
        </w:rPr>
        <w:t>招标文件</w:t>
      </w:r>
      <w:r>
        <w:rPr>
          <w:rFonts w:hint="default" w:ascii="Times New Roman" w:hAnsi="Times New Roman" w:eastAsia="方正仿宋_GBK" w:cs="Times New Roman"/>
          <w:color w:val="auto"/>
          <w:sz w:val="28"/>
          <w:szCs w:val="28"/>
          <w:highlight w:val="none"/>
        </w:rPr>
        <w:t>后重新组织采购活动。发现投标人提供虚假材料、串通等违法违</w:t>
      </w:r>
      <w:r>
        <w:rPr>
          <w:rFonts w:hint="default" w:ascii="Times New Roman" w:hAnsi="Times New Roman" w:eastAsia="方正仿宋_GBK" w:cs="Times New Roman"/>
          <w:color w:val="auto"/>
          <w:sz w:val="28"/>
          <w:szCs w:val="28"/>
          <w:highlight w:val="none"/>
          <w:lang w:eastAsia="zh-CN"/>
        </w:rPr>
        <w:t>规行为的，要及时向采购人或采购代理机构报告。</w:t>
      </w:r>
      <w:bookmarkStart w:id="51" w:name="_bookmark83"/>
      <w:bookmarkEnd w:id="51"/>
      <w:bookmarkStart w:id="52" w:name="_Toc125904400"/>
      <w:bookmarkStart w:id="53" w:name="_Toc125986535"/>
    </w:p>
    <w:p w14:paraId="4224E2DB">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7.评审总体要求</w:t>
      </w:r>
    </w:p>
    <w:p w14:paraId="12CA1701">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7.1.评审</w:t>
      </w:r>
      <w:r>
        <w:rPr>
          <w:rFonts w:hint="default" w:ascii="Times New Roman" w:hAnsi="Times New Roman" w:eastAsia="方正仿宋_GBK" w:cs="Times New Roman"/>
          <w:color w:val="auto"/>
          <w:sz w:val="28"/>
          <w:szCs w:val="28"/>
          <w:highlight w:val="none"/>
          <w:lang w:val="en-US" w:eastAsia="zh-CN"/>
        </w:rPr>
        <w:t>总则</w:t>
      </w:r>
    </w:p>
    <w:p w14:paraId="583F15CC">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一、根据《中华人民共和国政府采购法》《</w:t>
      </w:r>
      <w:r>
        <w:rPr>
          <w:rFonts w:hint="eastAsia" w:ascii="Times New Roman" w:hAnsi="Times New Roman" w:eastAsia="方正仿宋_GBK" w:cs="Times New Roman"/>
          <w:color w:val="auto"/>
          <w:sz w:val="28"/>
          <w:szCs w:val="28"/>
          <w:highlight w:val="none"/>
          <w:lang w:val="en-US" w:eastAsia="zh-CN"/>
        </w:rPr>
        <w:t>中华人民共和国招标投标法</w:t>
      </w:r>
      <w:r>
        <w:rPr>
          <w:rFonts w:hint="default" w:ascii="Times New Roman" w:hAnsi="Times New Roman" w:eastAsia="方正仿宋_GBK" w:cs="Times New Roman"/>
          <w:color w:val="auto"/>
          <w:sz w:val="28"/>
          <w:szCs w:val="28"/>
          <w:highlight w:val="none"/>
          <w:lang w:val="en-US" w:eastAsia="zh-CN"/>
        </w:rPr>
        <w:t>》《政府采购货物和服务招标投标管理办法》等法律制度规定，结合采购项目特点制定本评标办法。</w:t>
      </w:r>
    </w:p>
    <w:p w14:paraId="04D5E2EB">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二、评标工作由代理机构负责组织，具体评标事务由依法组建的评标委员会负责。评标委员会由采购人代表和评审专家组成。</w:t>
      </w:r>
    </w:p>
    <w:p w14:paraId="46D705A4">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三、评标工作应遵循客观、公正、审慎的原则，根据招标文件规定的评标程序、评标方法和评标标准进行独立评标。</w:t>
      </w:r>
    </w:p>
    <w:p w14:paraId="1D35B190">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四、本项目采取电子评标，通过交易系统完成评标工作。评标委员会成员、采购人、代理机构和投标人应当按照本招标文件规定和交易系统操作要求开展或者参加评标活动。</w:t>
      </w:r>
    </w:p>
    <w:p w14:paraId="29BFC31E">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五、评标过程中的书面材料往来均通过交易系统传递，需要投标人电子签章的，投标人应按规定加盖电子印章。</w:t>
      </w:r>
    </w:p>
    <w:p w14:paraId="72E50E11">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六、评标过程应当独立、保密，任何单位和个人不得非法干预评标活动。代理机构、采购人及其工作人员、采购人监督人员违法</w:t>
      </w:r>
      <w:r>
        <w:rPr>
          <w:rFonts w:hint="eastAsia" w:ascii="Times New Roman" w:hAnsi="Times New Roman" w:eastAsia="方正仿宋_GBK" w:cs="Times New Roman"/>
          <w:color w:val="auto"/>
          <w:sz w:val="28"/>
          <w:szCs w:val="28"/>
          <w:highlight w:val="none"/>
          <w:lang w:val="en-US" w:eastAsia="zh-CN"/>
        </w:rPr>
        <w:t>不</w:t>
      </w:r>
      <w:r>
        <w:rPr>
          <w:rFonts w:hint="default" w:ascii="Times New Roman" w:hAnsi="Times New Roman" w:eastAsia="方正仿宋_GBK" w:cs="Times New Roman"/>
          <w:color w:val="auto"/>
          <w:sz w:val="28"/>
          <w:szCs w:val="28"/>
          <w:highlight w:val="none"/>
          <w:lang w:val="en-US" w:eastAsia="zh-CN"/>
        </w:rPr>
        <w:t>干预评标活动的，将依法追究其责任。</w:t>
      </w:r>
    </w:p>
    <w:p w14:paraId="4B86B908">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lang w:val="en-US" w:eastAsia="zh-CN"/>
        </w:rPr>
        <w:t>.2.评标委员会</w:t>
      </w:r>
    </w:p>
    <w:p w14:paraId="600A4BC5">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一、本项目评标委员会成员人数应当为5人以上单数，其中评审专家不得少于成员总数的三分之二。财政部有特殊规定的，按照财政部有关规定执行。评审专家由代理机构采取随机方式在</w:t>
      </w:r>
      <w:r>
        <w:rPr>
          <w:rFonts w:hint="eastAsia" w:eastAsia="方正仿宋_GBK" w:cs="Times New Roman"/>
          <w:color w:val="auto"/>
          <w:sz w:val="28"/>
          <w:szCs w:val="28"/>
          <w:highlight w:val="none"/>
          <w:lang w:val="en-US" w:eastAsia="zh-CN"/>
        </w:rPr>
        <w:t>云南省政府采购系统</w:t>
      </w:r>
      <w:r>
        <w:rPr>
          <w:rFonts w:hint="default" w:ascii="Times New Roman" w:hAnsi="Times New Roman" w:eastAsia="方正仿宋_GBK" w:cs="Times New Roman"/>
          <w:color w:val="auto"/>
          <w:sz w:val="28"/>
          <w:szCs w:val="28"/>
          <w:highlight w:val="none"/>
          <w:lang w:val="en-US" w:eastAsia="zh-CN"/>
        </w:rPr>
        <w:t>评审专家</w:t>
      </w:r>
      <w:r>
        <w:rPr>
          <w:rFonts w:hint="eastAsia" w:eastAsia="方正仿宋_GBK" w:cs="Times New Roman"/>
          <w:color w:val="auto"/>
          <w:sz w:val="28"/>
          <w:szCs w:val="28"/>
          <w:highlight w:val="none"/>
          <w:lang w:val="en-US" w:eastAsia="zh-CN"/>
        </w:rPr>
        <w:t>模块</w:t>
      </w:r>
      <w:r>
        <w:rPr>
          <w:rFonts w:hint="default" w:ascii="Times New Roman" w:hAnsi="Times New Roman" w:eastAsia="方正仿宋_GBK" w:cs="Times New Roman"/>
          <w:color w:val="auto"/>
          <w:sz w:val="28"/>
          <w:szCs w:val="28"/>
          <w:highlight w:val="none"/>
          <w:lang w:val="en-US" w:eastAsia="zh-CN"/>
        </w:rPr>
        <w:t>抽取。</w:t>
      </w:r>
    </w:p>
    <w:p w14:paraId="65D29CA2">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二、评标委员会成员应当满足并适应电子化采购评审的工作需要，登录交易系统进入项目评审功能模块确认身份、签到、推荐评标委员会组长。采购人代表可以使用采购人代表专用签章确认评审意见。</w:t>
      </w:r>
    </w:p>
    <w:p w14:paraId="2A5DBDB2">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三、评标委员会成员获取解密后的投标文件，开展评标活动。出现评审专家请假、回避等情况时，采购人或者代理机构按规定申请补充抽取评审专家。无法及时补充抽取的，采购人或者代理机构应当封存投标人投标文件，按规定重新组建评标委员会，解封投标文件后，开展评标活动。</w:t>
      </w:r>
    </w:p>
    <w:p w14:paraId="7001A4B0">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四、评标委员会应当履行下列职责：</w:t>
      </w:r>
    </w:p>
    <w:p w14:paraId="434D6C4A">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（一）熟悉和理解招标文件；</w:t>
      </w:r>
    </w:p>
    <w:p w14:paraId="1C43140A">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（二）审查、评价投标文件是否符合招标文件的</w:t>
      </w:r>
      <w:r>
        <w:rPr>
          <w:rFonts w:hint="eastAsia" w:ascii="Times New Roman" w:hAnsi="Times New Roman" w:eastAsia="方正仿宋_GBK" w:cs="Times New Roman"/>
          <w:color w:val="auto"/>
          <w:sz w:val="28"/>
          <w:szCs w:val="28"/>
          <w:highlight w:val="none"/>
          <w:lang w:val="en-US" w:eastAsia="zh-CN"/>
        </w:rPr>
        <w:t>资格、</w:t>
      </w:r>
      <w:r>
        <w:rPr>
          <w:rFonts w:hint="default" w:ascii="Times New Roman" w:hAnsi="Times New Roman" w:eastAsia="方正仿宋_GBK" w:cs="Times New Roman"/>
          <w:color w:val="auto"/>
          <w:sz w:val="28"/>
          <w:szCs w:val="28"/>
          <w:highlight w:val="none"/>
          <w:lang w:val="en-US" w:eastAsia="zh-CN"/>
        </w:rPr>
        <w:t>商务、技术等实质性要求；</w:t>
      </w:r>
    </w:p>
    <w:p w14:paraId="55190963">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（三）对投标文件进行比较和评价；</w:t>
      </w:r>
    </w:p>
    <w:p w14:paraId="6CBEBC19">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（四）根据需要要求采购人、代理机构对招标文件作出解释；根据需要要求投标人对投标文件有关事项作出澄清、说明或者补正；</w:t>
      </w:r>
    </w:p>
    <w:p w14:paraId="2CF96750">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（五）确定中标候选人名单，以及根据采购人委托直接确定中标人；</w:t>
      </w:r>
    </w:p>
    <w:p w14:paraId="34D468D9">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（六）起草评标报告并进行签署；</w:t>
      </w:r>
    </w:p>
    <w:p w14:paraId="58100A79">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（七）向采购人、代理机构或者有关部门报告评标中发现的违法行为；</w:t>
      </w:r>
    </w:p>
    <w:p w14:paraId="19B9C2BE">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（八）法律、法规和规章规定的其他职责。</w:t>
      </w:r>
    </w:p>
    <w:p w14:paraId="1B4C0DDD">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lang w:val="en-US" w:eastAsia="zh-CN"/>
        </w:rPr>
        <w:t>.3.评标程序</w:t>
      </w:r>
    </w:p>
    <w:p w14:paraId="543E4C96">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lang w:val="en-US" w:eastAsia="zh-CN"/>
        </w:rPr>
        <w:t>.3.1.熟悉和理解招标文件</w:t>
      </w:r>
    </w:p>
    <w:p w14:paraId="4AF93F65">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评标委员会正式评审前，应当对招标文件进行熟悉和理解，内容主要包括招标文件中采购项目技术、服务和商务要求、评审方法和标准以及政府采购合同的内容等。</w:t>
      </w:r>
    </w:p>
    <w:p w14:paraId="1520C751">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lang w:val="en-US" w:eastAsia="zh-CN"/>
        </w:rPr>
        <w:t>.3.2.停止评标的情形</w:t>
      </w:r>
    </w:p>
    <w:p w14:paraId="41AD3B05">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本招标文件有下列情形之一的，评标委员会应当停止评标：</w:t>
      </w:r>
    </w:p>
    <w:p w14:paraId="5D73E8A9">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一、招标文件的规定存在歧义、重大缺陷，导致评标工作无法进行的；</w:t>
      </w:r>
    </w:p>
    <w:p w14:paraId="06D0C1D5">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二、招标文件明显以不合理条件对投标人实行差别待遇或者歧视待遇的；</w:t>
      </w:r>
    </w:p>
    <w:p w14:paraId="517F2FD5">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三、采购项目属于国家规定的优先、强制采购范围，但是招标文件未依法体现优先、强制采购相关规定的；</w:t>
      </w:r>
    </w:p>
    <w:p w14:paraId="3B56200D">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四、采购项目属于政府采购促进中小企业发展的范围，但是招标文件未依法体现促进中小企业发展相关规定的；</w:t>
      </w:r>
    </w:p>
    <w:p w14:paraId="1B20EA0B">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五、招标文件规定的评标方法是综合评分法、最低评标价法之外的评标方法，或者虽然名称为综合评分法、最低评标价法，但实际上不符合国家规定的；</w:t>
      </w:r>
    </w:p>
    <w:p w14:paraId="0491C7AC">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六、招标文件将投标人的</w:t>
      </w:r>
      <w:r>
        <w:rPr>
          <w:rFonts w:hint="eastAsia" w:ascii="Times New Roman" w:hAnsi="Times New Roman" w:eastAsia="方正仿宋_GBK" w:cs="Times New Roman"/>
          <w:color w:val="auto"/>
          <w:sz w:val="28"/>
          <w:szCs w:val="28"/>
          <w:highlight w:val="none"/>
          <w:lang w:val="en-US" w:eastAsia="zh-CN"/>
        </w:rPr>
        <w:t>技术</w:t>
      </w:r>
      <w:r>
        <w:rPr>
          <w:rFonts w:hint="default" w:ascii="Times New Roman" w:hAnsi="Times New Roman" w:eastAsia="方正仿宋_GBK" w:cs="Times New Roman"/>
          <w:color w:val="auto"/>
          <w:sz w:val="28"/>
          <w:szCs w:val="28"/>
          <w:highlight w:val="none"/>
          <w:lang w:val="en-US" w:eastAsia="zh-CN"/>
        </w:rPr>
        <w:t>条件列为评分因素的；</w:t>
      </w:r>
    </w:p>
    <w:p w14:paraId="4908DDB6">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七、招标文件有违反国家其他有关强制性规定的情形。</w:t>
      </w:r>
    </w:p>
    <w:p w14:paraId="6FE77489">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出现上述应当停止评标情形的，评标委员会应当通过交易系统向采购人、代理机构提交相关说明材料，说明停止评审的情形和具体理由。除上述情形外，评标委员会不得以任何方式和理由停止评标。</w:t>
      </w:r>
    </w:p>
    <w:p w14:paraId="664DB71D">
      <w:pPr>
        <w:pageBreakBefore w:val="0"/>
        <w:kinsoku/>
        <w:wordWrap/>
        <w:overflowPunct/>
        <w:topLinePunct w:val="0"/>
        <w:bidi w:val="0"/>
        <w:spacing w:line="460" w:lineRule="exact"/>
        <w:ind w:firstLine="560" w:firstLineChars="20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出现上述应当停止评标情形的，采购人、代理机构应当将停止评标的情形和具体原因通过交易系统告知参加采购活动的投标人，并在</w:t>
      </w:r>
      <w:r>
        <w:rPr>
          <w:rFonts w:hint="eastAsia" w:ascii="Times New Roman" w:hAnsi="Times New Roman" w:eastAsia="方正仿宋_GBK" w:cs="Times New Roman"/>
          <w:color w:val="auto"/>
          <w:sz w:val="28"/>
          <w:szCs w:val="28"/>
          <w:highlight w:val="none"/>
          <w:lang w:val="en-US" w:eastAsia="zh-CN"/>
        </w:rPr>
        <w:t>云南省</w:t>
      </w:r>
      <w:r>
        <w:rPr>
          <w:rFonts w:hint="default" w:ascii="Times New Roman" w:hAnsi="Times New Roman" w:eastAsia="方正仿宋_GBK" w:cs="Times New Roman"/>
          <w:color w:val="auto"/>
          <w:sz w:val="28"/>
          <w:szCs w:val="28"/>
          <w:highlight w:val="none"/>
          <w:lang w:val="en-US" w:eastAsia="zh-CN"/>
        </w:rPr>
        <w:t>政府采购网公告。采购人、代理机构认为评标委员会不应当停止评标的，可以书面报告采购项目同级财政部门依法处理，并提供相关证明材料。</w:t>
      </w:r>
    </w:p>
    <w:bookmarkEnd w:id="52"/>
    <w:bookmarkEnd w:id="53"/>
    <w:p w14:paraId="073956B2">
      <w:pPr>
        <w:pStyle w:val="23"/>
        <w:rPr>
          <w:rFonts w:hint="default" w:ascii="Times New Roman" w:hAnsi="Times New Roman" w:cs="Times New Roman"/>
          <w:sz w:val="28"/>
          <w:szCs w:val="28"/>
        </w:rPr>
      </w:pPr>
    </w:p>
    <w:p w14:paraId="4C7FA456">
      <w:pPr>
        <w:pStyle w:val="23"/>
        <w:rPr>
          <w:rFonts w:hint="default" w:ascii="Times New Roman" w:hAnsi="Times New Roman" w:cs="Times New Roman"/>
          <w:sz w:val="28"/>
          <w:szCs w:val="28"/>
        </w:rPr>
      </w:pPr>
    </w:p>
    <w:p w14:paraId="16913E3C">
      <w:pPr>
        <w:pStyle w:val="23"/>
        <w:rPr>
          <w:rFonts w:hint="default" w:ascii="Times New Roman" w:hAnsi="Times New Roman" w:cs="Times New Roman"/>
          <w:sz w:val="28"/>
          <w:szCs w:val="28"/>
        </w:rPr>
      </w:pPr>
    </w:p>
    <w:p w14:paraId="1B1B1BEA">
      <w:pPr>
        <w:pStyle w:val="23"/>
        <w:rPr>
          <w:rFonts w:hint="default" w:ascii="Times New Roman" w:hAnsi="Times New Roman" w:cs="Times New Roman"/>
          <w:sz w:val="28"/>
          <w:szCs w:val="28"/>
        </w:rPr>
      </w:pPr>
    </w:p>
    <w:p w14:paraId="13B8B2A4">
      <w:pPr>
        <w:pStyle w:val="23"/>
        <w:rPr>
          <w:rFonts w:hint="default" w:ascii="Times New Roman" w:hAnsi="Times New Roman" w:cs="Times New Roman"/>
          <w:sz w:val="28"/>
          <w:szCs w:val="28"/>
        </w:rPr>
      </w:pPr>
    </w:p>
    <w:p w14:paraId="3F82C106">
      <w:pPr>
        <w:pStyle w:val="23"/>
        <w:rPr>
          <w:rFonts w:hint="default" w:ascii="Times New Roman" w:hAnsi="Times New Roman" w:cs="Times New Roman"/>
          <w:sz w:val="28"/>
          <w:szCs w:val="28"/>
        </w:rPr>
      </w:pPr>
    </w:p>
    <w:p w14:paraId="7EED4795">
      <w:pPr>
        <w:pStyle w:val="23"/>
        <w:rPr>
          <w:rFonts w:hint="default" w:ascii="Times New Roman" w:hAnsi="Times New Roman" w:cs="Times New Roman"/>
          <w:sz w:val="28"/>
          <w:szCs w:val="28"/>
        </w:rPr>
      </w:pPr>
    </w:p>
    <w:p w14:paraId="6557D9ED">
      <w:pPr>
        <w:pStyle w:val="23"/>
        <w:rPr>
          <w:rFonts w:hint="default" w:ascii="Times New Roman" w:hAnsi="Times New Roman" w:cs="Times New Roman"/>
          <w:sz w:val="28"/>
          <w:szCs w:val="28"/>
        </w:rPr>
      </w:pPr>
    </w:p>
    <w:p w14:paraId="061EE058">
      <w:pPr>
        <w:pStyle w:val="23"/>
        <w:rPr>
          <w:rFonts w:hint="default" w:ascii="Times New Roman" w:hAnsi="Times New Roman" w:cs="Times New Roman"/>
          <w:sz w:val="28"/>
          <w:szCs w:val="28"/>
        </w:rPr>
      </w:pPr>
    </w:p>
    <w:p w14:paraId="10641CE6">
      <w:pPr>
        <w:pStyle w:val="23"/>
        <w:rPr>
          <w:rFonts w:hint="default" w:ascii="Times New Roman" w:hAnsi="Times New Roman" w:cs="Times New Roman"/>
          <w:sz w:val="28"/>
          <w:szCs w:val="28"/>
        </w:rPr>
      </w:pPr>
    </w:p>
    <w:p w14:paraId="087118CF">
      <w:pPr>
        <w:pStyle w:val="23"/>
        <w:rPr>
          <w:rFonts w:hint="default" w:ascii="Times New Roman" w:hAnsi="Times New Roman" w:cs="Times New Roman"/>
          <w:sz w:val="28"/>
          <w:szCs w:val="28"/>
        </w:rPr>
      </w:pPr>
    </w:p>
    <w:p w14:paraId="1DE5A249">
      <w:pPr>
        <w:pStyle w:val="23"/>
        <w:rPr>
          <w:rFonts w:hint="default" w:ascii="Times New Roman" w:hAnsi="Times New Roman" w:cs="Times New Roman"/>
          <w:sz w:val="28"/>
          <w:szCs w:val="28"/>
        </w:rPr>
      </w:pPr>
    </w:p>
    <w:p w14:paraId="126CBF55">
      <w:pPr>
        <w:pStyle w:val="23"/>
        <w:rPr>
          <w:rFonts w:hint="default" w:ascii="Times New Roman" w:hAnsi="Times New Roman" w:cs="Times New Roman"/>
          <w:sz w:val="28"/>
          <w:szCs w:val="28"/>
        </w:rPr>
      </w:pPr>
    </w:p>
    <w:p w14:paraId="15A909E6">
      <w:pPr>
        <w:pStyle w:val="23"/>
        <w:rPr>
          <w:rFonts w:hint="default" w:ascii="Times New Roman" w:hAnsi="Times New Roman" w:cs="Times New Roman"/>
          <w:sz w:val="28"/>
          <w:szCs w:val="28"/>
        </w:rPr>
      </w:pPr>
    </w:p>
    <w:p w14:paraId="0D2EF59F">
      <w:pPr>
        <w:pStyle w:val="23"/>
        <w:rPr>
          <w:rFonts w:hint="default" w:ascii="Times New Roman" w:hAnsi="Times New Roman" w:cs="Times New Roman"/>
          <w:sz w:val="28"/>
          <w:szCs w:val="28"/>
        </w:rPr>
      </w:pPr>
    </w:p>
    <w:p w14:paraId="2130D59D">
      <w:pPr>
        <w:pStyle w:val="23"/>
        <w:rPr>
          <w:rFonts w:hint="default" w:ascii="Times New Roman" w:hAnsi="Times New Roman" w:cs="Times New Roman"/>
          <w:sz w:val="28"/>
          <w:szCs w:val="28"/>
        </w:rPr>
      </w:pPr>
    </w:p>
    <w:p w14:paraId="044A1760">
      <w:pPr>
        <w:pStyle w:val="23"/>
        <w:rPr>
          <w:rFonts w:hint="default" w:ascii="Times New Roman" w:hAnsi="Times New Roman" w:cs="Times New Roman"/>
          <w:sz w:val="28"/>
          <w:szCs w:val="28"/>
        </w:rPr>
      </w:pPr>
    </w:p>
    <w:p w14:paraId="76C12D0F">
      <w:pPr>
        <w:pStyle w:val="23"/>
        <w:rPr>
          <w:rFonts w:hint="default" w:ascii="Times New Roman" w:hAnsi="Times New Roman" w:cs="Times New Roman"/>
          <w:sz w:val="28"/>
          <w:szCs w:val="28"/>
        </w:rPr>
      </w:pPr>
    </w:p>
    <w:p w14:paraId="3A0078FE">
      <w:pPr>
        <w:pStyle w:val="23"/>
        <w:jc w:val="center"/>
        <w:outlineLvl w:val="1"/>
        <w:rPr>
          <w:rFonts w:hint="default" w:ascii="Times New Roman" w:hAnsi="Times New Roman" w:cs="Times New Roman"/>
          <w:sz w:val="28"/>
          <w:szCs w:val="28"/>
        </w:rPr>
      </w:pPr>
      <w:r>
        <w:rPr>
          <w:rFonts w:hint="default" w:ascii="Times New Roman" w:hAnsi="Times New Roman" w:eastAsia="仿宋_GB2312" w:cs="Times New Roman"/>
          <w:b/>
          <w:sz w:val="28"/>
          <w:szCs w:val="28"/>
        </w:rPr>
        <w:t>第</w:t>
      </w:r>
      <w:r>
        <w:rPr>
          <w:rFonts w:hint="eastAsia" w:ascii="Times New Roman" w:hAnsi="Times New Roman" w:eastAsia="仿宋_GB2312" w:cs="Times New Roman"/>
          <w:b/>
          <w:sz w:val="28"/>
          <w:szCs w:val="28"/>
          <w:lang w:val="en-US" w:eastAsia="zh-CN"/>
        </w:rPr>
        <w:t>五</w:t>
      </w:r>
      <w:r>
        <w:rPr>
          <w:rFonts w:hint="default" w:ascii="Times New Roman" w:hAnsi="Times New Roman" w:eastAsia="仿宋_GB2312" w:cs="Times New Roman"/>
          <w:b/>
          <w:sz w:val="28"/>
          <w:szCs w:val="28"/>
        </w:rPr>
        <w:t>章 拟签订合同文本</w:t>
      </w:r>
    </w:p>
    <w:p w14:paraId="4D02A109">
      <w:pPr>
        <w:autoSpaceDE w:val="0"/>
        <w:autoSpaceDN w:val="0"/>
        <w:adjustRightInd w:val="0"/>
        <w:spacing w:line="400" w:lineRule="atLeast"/>
        <w:ind w:firstLine="480" w:firstLineChars="200"/>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本次政府采购项目的合同，甲乙双方将按照《中华人民共和国政府采购法》“第四部分 政府采购合同”等有关政府采购法律法规的规定进行签定。并合乎《中华人民共和国</w:t>
      </w:r>
      <w:r>
        <w:rPr>
          <w:rFonts w:hint="default" w:ascii="Times New Roman" w:hAnsi="Times New Roman" w:eastAsia="宋体" w:cs="Times New Roman"/>
          <w:bCs/>
          <w:color w:val="auto"/>
          <w:kern w:val="0"/>
          <w:sz w:val="24"/>
          <w:szCs w:val="24"/>
          <w:highlight w:val="none"/>
          <w:lang w:val="en-US" w:eastAsia="zh-CN"/>
        </w:rPr>
        <w:t>民法典</w:t>
      </w:r>
      <w:r>
        <w:rPr>
          <w:rFonts w:hint="default" w:ascii="Times New Roman" w:hAnsi="Times New Roman" w:eastAsia="宋体" w:cs="Times New Roman"/>
          <w:bCs/>
          <w:color w:val="auto"/>
          <w:kern w:val="0"/>
          <w:sz w:val="24"/>
          <w:szCs w:val="24"/>
          <w:highlight w:val="none"/>
        </w:rPr>
        <w:t>》及其他法律法规之规定。</w:t>
      </w:r>
    </w:p>
    <w:p w14:paraId="08C2AF5E">
      <w:pPr>
        <w:autoSpaceDE w:val="0"/>
        <w:autoSpaceDN w:val="0"/>
        <w:adjustRightInd w:val="0"/>
        <w:spacing w:line="400" w:lineRule="atLeast"/>
        <w:ind w:firstLine="480" w:firstLineChars="200"/>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采购人和</w:t>
      </w:r>
      <w:r>
        <w:rPr>
          <w:rFonts w:hint="default" w:ascii="Times New Roman" w:hAnsi="Times New Roman" w:cs="Times New Roman"/>
          <w:bCs/>
          <w:color w:val="auto"/>
          <w:kern w:val="0"/>
          <w:sz w:val="24"/>
          <w:szCs w:val="24"/>
          <w:highlight w:val="none"/>
          <w:lang w:val="en-US" w:eastAsia="zh-CN"/>
        </w:rPr>
        <w:t>中标人</w:t>
      </w:r>
      <w:r>
        <w:rPr>
          <w:rFonts w:hint="default" w:ascii="Times New Roman" w:hAnsi="Times New Roman" w:eastAsia="宋体" w:cs="Times New Roman"/>
          <w:bCs/>
          <w:color w:val="auto"/>
          <w:kern w:val="0"/>
          <w:sz w:val="24"/>
          <w:szCs w:val="24"/>
          <w:highlight w:val="none"/>
        </w:rPr>
        <w:t>需按照本次</w:t>
      </w:r>
      <w:r>
        <w:rPr>
          <w:rFonts w:hint="default" w:ascii="Times New Roman" w:hAnsi="Times New Roman" w:eastAsia="宋体" w:cs="Times New Roman"/>
          <w:bCs/>
          <w:color w:val="auto"/>
          <w:kern w:val="0"/>
          <w:sz w:val="24"/>
          <w:szCs w:val="24"/>
          <w:highlight w:val="none"/>
          <w:lang w:val="en-US" w:eastAsia="zh-CN"/>
        </w:rPr>
        <w:t>招标</w:t>
      </w:r>
      <w:r>
        <w:rPr>
          <w:rFonts w:hint="default" w:ascii="Times New Roman" w:hAnsi="Times New Roman" w:eastAsia="宋体" w:cs="Times New Roman"/>
          <w:bCs/>
          <w:color w:val="auto"/>
          <w:kern w:val="0"/>
          <w:sz w:val="24"/>
          <w:szCs w:val="24"/>
          <w:highlight w:val="none"/>
        </w:rPr>
        <w:t>文件和采购结果自</w:t>
      </w:r>
      <w:r>
        <w:rPr>
          <w:rFonts w:hint="default" w:ascii="Times New Roman" w:hAnsi="Times New Roman" w:cs="Times New Roman"/>
          <w:bCs/>
          <w:color w:val="auto"/>
          <w:kern w:val="0"/>
          <w:sz w:val="24"/>
          <w:szCs w:val="24"/>
          <w:highlight w:val="none"/>
          <w:lang w:val="en-US" w:eastAsia="zh-CN"/>
        </w:rPr>
        <w:t>中标</w:t>
      </w:r>
      <w:r>
        <w:rPr>
          <w:rFonts w:hint="default" w:ascii="Times New Roman" w:hAnsi="Times New Roman" w:eastAsia="宋体" w:cs="Times New Roman"/>
          <w:bCs/>
          <w:color w:val="auto"/>
          <w:kern w:val="0"/>
          <w:sz w:val="24"/>
          <w:szCs w:val="24"/>
          <w:highlight w:val="none"/>
        </w:rPr>
        <w:t>通知书发出之日起30日内签订合同，合同不得对</w:t>
      </w:r>
      <w:r>
        <w:rPr>
          <w:rFonts w:hint="default" w:ascii="Times New Roman" w:hAnsi="Times New Roman" w:eastAsia="宋体" w:cs="Times New Roman"/>
          <w:bCs/>
          <w:color w:val="auto"/>
          <w:kern w:val="0"/>
          <w:sz w:val="24"/>
          <w:szCs w:val="24"/>
          <w:highlight w:val="none"/>
          <w:lang w:val="en-US" w:eastAsia="zh-CN"/>
        </w:rPr>
        <w:t>招标</w:t>
      </w:r>
      <w:r>
        <w:rPr>
          <w:rFonts w:hint="default" w:ascii="Times New Roman" w:hAnsi="Times New Roman" w:eastAsia="宋体" w:cs="Times New Roman"/>
          <w:bCs/>
          <w:color w:val="auto"/>
          <w:kern w:val="0"/>
          <w:sz w:val="24"/>
          <w:szCs w:val="24"/>
          <w:highlight w:val="none"/>
        </w:rPr>
        <w:t>文件确定的事项和成交供应商响应文件作实质性修改，其余合同条款甲乙双方可根据实际情况和有关法律法规，进行补充。</w:t>
      </w:r>
    </w:p>
    <w:p w14:paraId="2E07E5CA">
      <w:pPr>
        <w:autoSpaceDE w:val="0"/>
        <w:autoSpaceDN w:val="0"/>
        <w:adjustRightInd w:val="0"/>
        <w:spacing w:line="400" w:lineRule="atLeast"/>
        <w:ind w:firstLine="480" w:firstLineChars="200"/>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合同范本见下：</w:t>
      </w:r>
    </w:p>
    <w:p w14:paraId="79CCE50C">
      <w:pPr>
        <w:pStyle w:val="24"/>
        <w:widowControl w:val="0"/>
        <w:numPr>
          <w:ilvl w:val="0"/>
          <w:numId w:val="0"/>
        </w:numPr>
        <w:autoSpaceDE w:val="0"/>
        <w:autoSpaceDN w:val="0"/>
        <w:spacing w:after="200" w:line="590" w:lineRule="exact"/>
        <w:jc w:val="both"/>
        <w:outlineLvl w:val="9"/>
        <w:rPr>
          <w:rFonts w:hint="default" w:ascii="Times New Roman" w:hAnsi="Times New Roman" w:eastAsia="宋体" w:cs="Times New Roman"/>
          <w:color w:val="auto"/>
          <w:highlight w:val="none"/>
          <w:lang w:eastAsia="zh-CN"/>
        </w:rPr>
      </w:pPr>
    </w:p>
    <w:p w14:paraId="1926A6E9">
      <w:pPr>
        <w:bidi w:val="0"/>
        <w:rPr>
          <w:rFonts w:hint="default" w:ascii="Times New Roman" w:hAnsi="Times New Roman" w:eastAsia="宋体" w:cs="Times New Roman"/>
          <w:color w:val="auto"/>
          <w:highlight w:val="none"/>
          <w:lang w:eastAsia="zh-CN"/>
        </w:rPr>
      </w:pPr>
    </w:p>
    <w:p w14:paraId="2332FE75">
      <w:pPr>
        <w:bidi w:val="0"/>
        <w:rPr>
          <w:rFonts w:hint="default" w:ascii="Times New Roman" w:hAnsi="Times New Roman" w:eastAsia="宋体" w:cs="Times New Roman"/>
          <w:color w:val="auto"/>
          <w:highlight w:val="none"/>
          <w:lang w:eastAsia="zh-CN"/>
        </w:rPr>
      </w:pPr>
    </w:p>
    <w:p w14:paraId="413E225B">
      <w:pPr>
        <w:bidi w:val="0"/>
        <w:rPr>
          <w:rFonts w:hint="default" w:ascii="Times New Roman" w:hAnsi="Times New Roman" w:eastAsia="宋体" w:cs="Times New Roman"/>
          <w:color w:val="auto"/>
          <w:highlight w:val="none"/>
          <w:lang w:eastAsia="zh-CN"/>
        </w:rPr>
      </w:pPr>
    </w:p>
    <w:p w14:paraId="22255E41">
      <w:pPr>
        <w:bidi w:val="0"/>
        <w:rPr>
          <w:rFonts w:hint="default" w:ascii="Times New Roman" w:hAnsi="Times New Roman" w:eastAsia="宋体" w:cs="Times New Roman"/>
          <w:color w:val="auto"/>
          <w:highlight w:val="none"/>
          <w:lang w:eastAsia="zh-CN"/>
        </w:rPr>
      </w:pPr>
    </w:p>
    <w:p w14:paraId="08C8FC16">
      <w:pPr>
        <w:bidi w:val="0"/>
        <w:rPr>
          <w:rFonts w:hint="default" w:ascii="Times New Roman" w:hAnsi="Times New Roman" w:eastAsia="宋体" w:cs="Times New Roman"/>
          <w:color w:val="auto"/>
          <w:highlight w:val="none"/>
          <w:lang w:eastAsia="zh-CN"/>
        </w:rPr>
      </w:pPr>
    </w:p>
    <w:p w14:paraId="5D03E7E0">
      <w:pPr>
        <w:bidi w:val="0"/>
        <w:rPr>
          <w:rFonts w:hint="default" w:ascii="Times New Roman" w:hAnsi="Times New Roman" w:eastAsia="宋体" w:cs="Times New Roman"/>
          <w:color w:val="auto"/>
          <w:highlight w:val="none"/>
          <w:lang w:eastAsia="zh-CN"/>
        </w:rPr>
      </w:pPr>
    </w:p>
    <w:p w14:paraId="7DF9930C">
      <w:pPr>
        <w:bidi w:val="0"/>
        <w:rPr>
          <w:rFonts w:hint="default" w:ascii="Times New Roman" w:hAnsi="Times New Roman" w:eastAsia="宋体" w:cs="Times New Roman"/>
          <w:color w:val="auto"/>
          <w:highlight w:val="none"/>
          <w:lang w:eastAsia="zh-CN"/>
        </w:rPr>
      </w:pPr>
    </w:p>
    <w:p w14:paraId="05B0A1EF">
      <w:pPr>
        <w:bidi w:val="0"/>
        <w:rPr>
          <w:rFonts w:hint="default" w:ascii="Times New Roman" w:hAnsi="Times New Roman" w:eastAsia="宋体" w:cs="Times New Roman"/>
          <w:color w:val="auto"/>
          <w:highlight w:val="none"/>
          <w:lang w:eastAsia="zh-CN"/>
        </w:rPr>
      </w:pPr>
    </w:p>
    <w:p w14:paraId="433A0B91">
      <w:pPr>
        <w:tabs>
          <w:tab w:val="left" w:pos="3478"/>
        </w:tabs>
        <w:bidi w:val="0"/>
        <w:jc w:val="left"/>
        <w:rPr>
          <w:rFonts w:hint="default" w:ascii="Times New Roman" w:hAnsi="Times New Roman" w:eastAsia="宋体" w:cs="Times New Roman"/>
          <w:color w:val="auto"/>
          <w:highlight w:val="none"/>
          <w:lang w:eastAsia="zh-CN"/>
        </w:rPr>
        <w:sectPr>
          <w:headerReference r:id="rId3" w:type="default"/>
          <w:footerReference r:id="rId4" w:type="default"/>
          <w:pgSz w:w="12240" w:h="15840"/>
          <w:pgMar w:top="1500" w:right="1720" w:bottom="1120" w:left="1720" w:header="0" w:footer="841" w:gutter="0"/>
          <w:cols w:space="720" w:num="1"/>
        </w:sectPr>
      </w:pPr>
      <w:r>
        <w:rPr>
          <w:rFonts w:hint="default" w:ascii="Times New Roman" w:hAnsi="Times New Roman" w:eastAsia="宋体" w:cs="Times New Roman"/>
          <w:color w:val="auto"/>
          <w:highlight w:val="none"/>
          <w:lang w:eastAsia="zh-CN"/>
        </w:rPr>
        <w:tab/>
      </w:r>
    </w:p>
    <w:p w14:paraId="51439B92">
      <w:pPr>
        <w:widowControl w:val="0"/>
        <w:spacing w:after="0"/>
        <w:jc w:val="center"/>
        <w:rPr>
          <w:rFonts w:hint="default" w:ascii="Times New Roman" w:hAnsi="Times New Roman" w:eastAsia="宋体" w:cs="Times New Roman"/>
          <w:b/>
          <w:bCs/>
          <w:color w:val="auto"/>
          <w:spacing w:val="-20"/>
          <w:kern w:val="44"/>
          <w:sz w:val="48"/>
          <w:szCs w:val="48"/>
          <w:highlight w:val="none"/>
          <w:lang w:val="en-US" w:eastAsia="zh-CN" w:bidi="ar-SA"/>
        </w:rPr>
      </w:pPr>
      <w:r>
        <w:rPr>
          <w:rFonts w:hint="default" w:ascii="Times New Roman" w:hAnsi="Times New Roman" w:eastAsia="宋体" w:cs="Times New Roman"/>
          <w:b/>
          <w:bCs/>
          <w:color w:val="auto"/>
          <w:spacing w:val="-20"/>
          <w:kern w:val="44"/>
          <w:sz w:val="48"/>
          <w:szCs w:val="48"/>
          <w:highlight w:val="none"/>
          <w:lang w:val="en-US" w:eastAsia="zh-CN" w:bidi="ar-SA"/>
        </w:rPr>
        <w:t>政府采购货物买卖合同</w:t>
      </w:r>
    </w:p>
    <w:p w14:paraId="21D9909B">
      <w:pPr>
        <w:widowControl w:val="0"/>
        <w:spacing w:after="0"/>
        <w:jc w:val="center"/>
        <w:rPr>
          <w:rFonts w:hint="default" w:ascii="Times New Roman" w:hAnsi="Times New Roman" w:eastAsia="宋体" w:cs="Times New Roman"/>
          <w:b/>
          <w:bCs/>
          <w:color w:val="auto"/>
          <w:spacing w:val="-20"/>
          <w:kern w:val="44"/>
          <w:sz w:val="48"/>
          <w:szCs w:val="48"/>
          <w:highlight w:val="none"/>
          <w:lang w:val="en-US" w:eastAsia="zh-CN" w:bidi="ar-SA"/>
        </w:rPr>
      </w:pPr>
      <w:r>
        <w:rPr>
          <w:rFonts w:hint="default" w:ascii="Times New Roman" w:hAnsi="Times New Roman" w:eastAsia="宋体" w:cs="Times New Roman"/>
          <w:b/>
          <w:bCs/>
          <w:color w:val="auto"/>
          <w:spacing w:val="-20"/>
          <w:kern w:val="44"/>
          <w:sz w:val="48"/>
          <w:szCs w:val="48"/>
          <w:highlight w:val="none"/>
          <w:lang w:val="en-US" w:eastAsia="zh-CN" w:bidi="ar-SA"/>
        </w:rPr>
        <w:t>（试行）</w:t>
      </w:r>
    </w:p>
    <w:p w14:paraId="636AA5ED">
      <w:pPr>
        <w:rPr>
          <w:rFonts w:hint="default" w:ascii="Times New Roman" w:hAnsi="Times New Roman" w:eastAsia="宋体" w:cs="Times New Roman"/>
          <w:b/>
          <w:bCs/>
          <w:color w:val="auto"/>
          <w:spacing w:val="-20"/>
          <w:kern w:val="44"/>
          <w:sz w:val="40"/>
          <w:szCs w:val="40"/>
          <w:highlight w:val="none"/>
        </w:rPr>
      </w:pPr>
    </w:p>
    <w:p w14:paraId="5A86F04B">
      <w:pPr>
        <w:rPr>
          <w:rFonts w:hint="default" w:ascii="Times New Roman" w:hAnsi="Times New Roman" w:eastAsia="宋体" w:cs="Times New Roman"/>
          <w:b/>
          <w:bCs/>
          <w:color w:val="auto"/>
          <w:spacing w:val="-20"/>
          <w:kern w:val="44"/>
          <w:sz w:val="40"/>
          <w:szCs w:val="40"/>
          <w:highlight w:val="none"/>
        </w:rPr>
      </w:pPr>
    </w:p>
    <w:p w14:paraId="2C7FB10E">
      <w:pPr>
        <w:rPr>
          <w:rFonts w:hint="default" w:ascii="Times New Roman" w:hAnsi="Times New Roman" w:eastAsia="宋体" w:cs="Times New Roman"/>
          <w:b/>
          <w:bCs/>
          <w:color w:val="auto"/>
          <w:spacing w:val="-20"/>
          <w:kern w:val="44"/>
          <w:sz w:val="40"/>
          <w:szCs w:val="40"/>
          <w:highlight w:val="none"/>
        </w:rPr>
      </w:pPr>
    </w:p>
    <w:p w14:paraId="34FBE4F2">
      <w:pPr>
        <w:spacing w:line="360" w:lineRule="auto"/>
        <w:ind w:left="420" w:leftChars="200"/>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kern w:val="0"/>
          <w:sz w:val="32"/>
          <w:szCs w:val="32"/>
          <w:highlight w:val="none"/>
        </w:rPr>
        <w:t>项目名称：</w:t>
      </w:r>
      <w:r>
        <w:rPr>
          <w:rFonts w:hint="default" w:ascii="Times New Roman" w:hAnsi="Times New Roman" w:eastAsia="宋体" w:cs="Times New Roman"/>
          <w:color w:val="auto"/>
          <w:sz w:val="32"/>
          <w:szCs w:val="32"/>
          <w:highlight w:val="none"/>
          <w:u w:val="single"/>
        </w:rPr>
        <w:t xml:space="preserve">                             </w:t>
      </w:r>
    </w:p>
    <w:p w14:paraId="6CB03786">
      <w:pPr>
        <w:spacing w:line="360" w:lineRule="auto"/>
        <w:ind w:left="420" w:leftChars="200"/>
        <w:rPr>
          <w:rFonts w:hint="default" w:ascii="Times New Roman" w:hAnsi="Times New Roman" w:eastAsia="宋体" w:cs="Times New Roman"/>
          <w:color w:val="auto"/>
          <w:sz w:val="32"/>
          <w:szCs w:val="32"/>
          <w:highlight w:val="none"/>
          <w:u w:val="single"/>
        </w:rPr>
      </w:pPr>
      <w:r>
        <w:rPr>
          <w:rFonts w:hint="default" w:ascii="Times New Roman" w:hAnsi="Times New Roman" w:eastAsia="宋体" w:cs="Times New Roman"/>
          <w:color w:val="auto"/>
          <w:sz w:val="32"/>
          <w:szCs w:val="32"/>
          <w:highlight w:val="none"/>
        </w:rPr>
        <w:t>合同编号：</w:t>
      </w:r>
      <w:r>
        <w:rPr>
          <w:rFonts w:hint="default" w:ascii="Times New Roman" w:hAnsi="Times New Roman" w:eastAsia="宋体" w:cs="Times New Roman"/>
          <w:color w:val="auto"/>
          <w:sz w:val="32"/>
          <w:szCs w:val="32"/>
          <w:highlight w:val="none"/>
          <w:u w:val="single"/>
        </w:rPr>
        <w:t xml:space="preserve">                             </w:t>
      </w:r>
    </w:p>
    <w:p w14:paraId="7A4EB093">
      <w:pPr>
        <w:spacing w:line="360" w:lineRule="auto"/>
        <w:ind w:left="420" w:leftChars="200"/>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甲    方：</w:t>
      </w:r>
      <w:r>
        <w:rPr>
          <w:rFonts w:hint="default" w:ascii="Times New Roman" w:hAnsi="Times New Roman" w:eastAsia="宋体" w:cs="Times New Roman"/>
          <w:color w:val="auto"/>
          <w:sz w:val="32"/>
          <w:szCs w:val="32"/>
          <w:highlight w:val="none"/>
          <w:u w:val="single"/>
        </w:rPr>
        <w:t xml:space="preserve">                             </w:t>
      </w:r>
    </w:p>
    <w:p w14:paraId="3B9C0993">
      <w:pPr>
        <w:spacing w:line="360" w:lineRule="auto"/>
        <w:ind w:left="420" w:leftChars="200"/>
        <w:rPr>
          <w:rFonts w:hint="default" w:ascii="Times New Roman" w:hAnsi="Times New Roman" w:eastAsia="宋体" w:cs="Times New Roman"/>
          <w:color w:val="auto"/>
          <w:sz w:val="32"/>
          <w:szCs w:val="32"/>
          <w:highlight w:val="none"/>
          <w:u w:val="single"/>
        </w:rPr>
      </w:pPr>
      <w:r>
        <w:rPr>
          <w:rFonts w:hint="default" w:ascii="Times New Roman" w:hAnsi="Times New Roman" w:eastAsia="宋体" w:cs="Times New Roman"/>
          <w:color w:val="auto"/>
          <w:sz w:val="32"/>
          <w:szCs w:val="32"/>
          <w:highlight w:val="none"/>
        </w:rPr>
        <w:t>乙    方：</w:t>
      </w:r>
      <w:r>
        <w:rPr>
          <w:rFonts w:hint="default" w:ascii="Times New Roman" w:hAnsi="Times New Roman" w:eastAsia="宋体" w:cs="Times New Roman"/>
          <w:color w:val="auto"/>
          <w:sz w:val="32"/>
          <w:szCs w:val="32"/>
          <w:highlight w:val="none"/>
          <w:u w:val="single"/>
        </w:rPr>
        <w:t xml:space="preserve">                             </w:t>
      </w:r>
    </w:p>
    <w:p w14:paraId="700E79FC">
      <w:pPr>
        <w:spacing w:line="360" w:lineRule="auto"/>
        <w:ind w:left="420" w:leftChars="200"/>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签订时间：</w:t>
      </w:r>
      <w:r>
        <w:rPr>
          <w:rFonts w:hint="default" w:ascii="Times New Roman" w:hAnsi="Times New Roman" w:eastAsia="宋体" w:cs="Times New Roman"/>
          <w:color w:val="auto"/>
          <w:sz w:val="32"/>
          <w:szCs w:val="32"/>
          <w:highlight w:val="none"/>
          <w:u w:val="single"/>
        </w:rPr>
        <w:t xml:space="preserve">                             </w:t>
      </w:r>
    </w:p>
    <w:p w14:paraId="0C6270C8">
      <w:pPr>
        <w:rPr>
          <w:rFonts w:hint="default" w:ascii="Times New Roman" w:hAnsi="Times New Roman" w:eastAsia="宋体" w:cs="Times New Roman"/>
          <w:color w:val="auto"/>
          <w:highlight w:val="none"/>
        </w:rPr>
      </w:pPr>
    </w:p>
    <w:p w14:paraId="50ECCBEA">
      <w:pPr>
        <w:rPr>
          <w:rFonts w:hint="default" w:ascii="Times New Roman" w:hAnsi="Times New Roman" w:eastAsia="黑体" w:cs="Times New Roman"/>
          <w:color w:val="auto"/>
          <w:sz w:val="44"/>
          <w:szCs w:val="44"/>
          <w:highlight w:val="none"/>
        </w:rPr>
      </w:pPr>
      <w:r>
        <w:rPr>
          <w:rFonts w:hint="default" w:ascii="Times New Roman" w:hAnsi="Times New Roman" w:eastAsia="黑体" w:cs="Times New Roman"/>
          <w:color w:val="auto"/>
          <w:sz w:val="44"/>
          <w:szCs w:val="44"/>
          <w:highlight w:val="none"/>
        </w:rPr>
        <w:br w:type="page"/>
      </w:r>
    </w:p>
    <w:p w14:paraId="7DAFD21F">
      <w:pPr>
        <w:jc w:val="center"/>
        <w:rPr>
          <w:rFonts w:hint="default" w:ascii="Times New Roman" w:hAnsi="Times New Roman" w:eastAsia="黑体" w:cs="Times New Roman"/>
          <w:color w:val="auto"/>
          <w:sz w:val="44"/>
          <w:szCs w:val="44"/>
          <w:highlight w:val="none"/>
          <w:lang w:eastAsia="zh-CN"/>
        </w:rPr>
      </w:pPr>
      <w:r>
        <w:rPr>
          <w:rFonts w:hint="default" w:ascii="Times New Roman" w:hAnsi="Times New Roman" w:eastAsia="黑体" w:cs="Times New Roman"/>
          <w:color w:val="auto"/>
          <w:sz w:val="44"/>
          <w:szCs w:val="44"/>
          <w:highlight w:val="none"/>
          <w:lang w:eastAsia="zh-CN"/>
        </w:rPr>
        <w:t>使</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lang w:eastAsia="zh-CN"/>
        </w:rPr>
        <w:t>用</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lang w:eastAsia="zh-CN"/>
        </w:rPr>
        <w:t>说</w:t>
      </w: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黑体" w:cs="Times New Roman"/>
          <w:color w:val="auto"/>
          <w:sz w:val="44"/>
          <w:szCs w:val="44"/>
          <w:highlight w:val="none"/>
          <w:lang w:eastAsia="zh-CN"/>
        </w:rPr>
        <w:t>明</w:t>
      </w:r>
    </w:p>
    <w:p w14:paraId="009DA6AF">
      <w:pPr>
        <w:ind w:firstLine="640" w:firstLineChars="200"/>
        <w:rPr>
          <w:rFonts w:hint="default" w:ascii="Times New Roman" w:hAnsi="Times New Roman" w:eastAsia="仿宋_GB2312" w:cs="Times New Roman"/>
          <w:color w:val="auto"/>
          <w:sz w:val="32"/>
          <w:szCs w:val="32"/>
          <w:highlight w:val="none"/>
          <w:lang w:val="en-US" w:eastAsia="zh-CN"/>
        </w:rPr>
      </w:pPr>
    </w:p>
    <w:p w14:paraId="41040138">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1.本合同标准文本适用于购买现成</w:t>
      </w:r>
      <w:r>
        <w:rPr>
          <w:rFonts w:hint="eastAsia"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lang w:val="en-US" w:eastAsia="zh-CN"/>
        </w:rPr>
        <w:t>的采购项目，不包括需要供应商定制开发、创新研发的货物采购项目。</w:t>
      </w:r>
    </w:p>
    <w:p w14:paraId="37A9B1A7">
      <w:pPr>
        <w:ind w:firstLine="0" w:firstLineChars="0"/>
        <w:rPr>
          <w:rFonts w:hint="default" w:ascii="Times New Roman" w:hAnsi="Times New Roman" w:eastAsia="黑体" w:cs="Times New Roman"/>
          <w:color w:val="auto"/>
          <w:sz w:val="44"/>
          <w:szCs w:val="44"/>
          <w:highlight w:val="none"/>
          <w:lang w:val="en-US" w:eastAsia="zh-CN"/>
        </w:rPr>
      </w:pPr>
      <w:r>
        <w:rPr>
          <w:rFonts w:hint="default" w:ascii="Times New Roman" w:hAnsi="Times New Roman" w:eastAsia="黑体" w:cs="Times New Roman"/>
          <w:color w:val="auto"/>
          <w:sz w:val="44"/>
          <w:szCs w:val="44"/>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2.本合同标准文本为政府采购货物买卖合同编制提供参考，可以结合采购项目具体情况，对文本作必要的调整修订后使用。</w:t>
      </w:r>
    </w:p>
    <w:p w14:paraId="1828154C">
      <w:pPr>
        <w:ind w:firstLine="640" w:firstLineChars="200"/>
        <w:rPr>
          <w:rFonts w:hint="default" w:ascii="Times New Roman" w:hAnsi="Times New Roman" w:eastAsia="黑体" w:cs="Times New Roman"/>
          <w:color w:val="auto"/>
          <w:sz w:val="44"/>
          <w:szCs w:val="44"/>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65638EC">
      <w:pPr>
        <w:keepNext/>
        <w:keepLines/>
        <w:widowControl w:val="0"/>
        <w:adjustRightInd w:val="0"/>
        <w:snapToGrid w:val="0"/>
        <w:spacing w:beforeLines="0" w:line="400" w:lineRule="exact"/>
        <w:jc w:val="center"/>
        <w:outlineLvl w:val="1"/>
        <w:rPr>
          <w:rFonts w:hint="default" w:ascii="Times New Roman" w:hAnsi="Times New Roman" w:eastAsia="黑体" w:cs="Times New Roman"/>
          <w:b w:val="0"/>
          <w:bCs w:val="0"/>
          <w:color w:val="auto"/>
          <w:kern w:val="2"/>
          <w:sz w:val="28"/>
          <w:szCs w:val="28"/>
          <w:highlight w:val="none"/>
          <w:lang w:val="en-US" w:eastAsia="zh-CN" w:bidi="ar-SA"/>
        </w:rPr>
      </w:pPr>
      <w:bookmarkStart w:id="54" w:name="_Toc22209"/>
      <w:r>
        <w:rPr>
          <w:rFonts w:hint="default" w:ascii="Times New Roman" w:hAnsi="Times New Roman" w:eastAsia="黑体" w:cs="Times New Roman"/>
          <w:b w:val="0"/>
          <w:bCs w:val="0"/>
          <w:color w:val="auto"/>
          <w:kern w:val="2"/>
          <w:sz w:val="28"/>
          <w:szCs w:val="28"/>
          <w:highlight w:val="none"/>
          <w:lang w:val="en-US" w:eastAsia="zh-CN" w:bidi="ar-SA"/>
        </w:rPr>
        <w:t>第一节 政府采购合同协议书</w:t>
      </w:r>
      <w:bookmarkEnd w:id="54"/>
    </w:p>
    <w:p w14:paraId="6F6D5C9D">
      <w:pPr>
        <w:bidi w:val="0"/>
        <w:rPr>
          <w:rFonts w:hint="default" w:ascii="Times New Roman" w:hAnsi="Times New Roman" w:cs="Times New Roman"/>
          <w:color w:val="auto"/>
          <w:highlight w:val="none"/>
          <w:lang w:val="en-US" w:eastAsia="zh-CN"/>
        </w:rPr>
      </w:pPr>
    </w:p>
    <w:p w14:paraId="099FEBE9">
      <w:pPr>
        <w:adjustRightInd w:val="0"/>
        <w:snapToGrid w:val="0"/>
        <w:spacing w:before="0" w:beforeLines="0"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甲方（全称）：</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（采购人</w:t>
      </w:r>
      <w:r>
        <w:rPr>
          <w:rFonts w:hint="default" w:ascii="Times New Roman" w:hAnsi="Times New Roman" w:eastAsia="宋体" w:cs="Times New Roman"/>
          <w:color w:val="auto"/>
          <w:szCs w:val="21"/>
          <w:highlight w:val="none"/>
          <w:lang w:eastAsia="zh-CN"/>
        </w:rPr>
        <w:t>、受采购人委托签订合同的单位</w:t>
      </w:r>
      <w:r>
        <w:rPr>
          <w:rFonts w:hint="default" w:ascii="Times New Roman" w:hAnsi="Times New Roman" w:eastAsia="宋体" w:cs="Times New Roman"/>
          <w:color w:val="auto"/>
          <w:szCs w:val="21"/>
          <w:highlight w:val="none"/>
        </w:rPr>
        <w:t>或采购</w:t>
      </w:r>
      <w:r>
        <w:rPr>
          <w:rFonts w:hint="default" w:ascii="Times New Roman" w:hAnsi="Times New Roman" w:eastAsia="宋体" w:cs="Times New Roman"/>
          <w:color w:val="auto"/>
          <w:szCs w:val="21"/>
          <w:highlight w:val="none"/>
          <w:lang w:val="en-US" w:eastAsia="zh-CN"/>
        </w:rPr>
        <w:tab/>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文件约定的合同甲方）</w:t>
      </w:r>
    </w:p>
    <w:p w14:paraId="10E28A2E">
      <w:pPr>
        <w:adjustRightInd w:val="0"/>
        <w:snapToGrid w:val="0"/>
        <w:spacing w:before="0" w:beforeLines="0"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乙方</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rPr>
        <w:t>（全称）：</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（供应商）</w:t>
      </w:r>
    </w:p>
    <w:p w14:paraId="209EAC38">
      <w:pPr>
        <w:adjustRightInd w:val="0"/>
        <w:snapToGrid w:val="0"/>
        <w:spacing w:before="0" w:beforeLines="0"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乙方2（全称）：</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（联合体成员供应商或其他合同主体）（如有）</w:t>
      </w:r>
    </w:p>
    <w:p w14:paraId="1F3FCD2F">
      <w:pPr>
        <w:adjustRightInd w:val="0"/>
        <w:snapToGrid w:val="0"/>
        <w:spacing w:before="0" w:beforeLines="0"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lang w:eastAsia="zh-CN"/>
        </w:rPr>
        <w:t>乙方</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highlight w:val="none"/>
          <w:lang w:val="en-US" w:eastAsia="zh-CN"/>
        </w:rPr>
        <w:t>（全称）</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（联合体成员供应商或其他合同主体）（如有）</w:t>
      </w:r>
    </w:p>
    <w:p w14:paraId="1D18364E">
      <w:pPr>
        <w:spacing w:beforeLines="0" w:line="400" w:lineRule="exact"/>
        <w:rPr>
          <w:rFonts w:hint="default" w:ascii="Times New Roman" w:hAnsi="Times New Roman" w:eastAsia="宋体" w:cs="Times New Roman"/>
          <w:color w:val="auto"/>
          <w:highlight w:val="none"/>
          <w:lang w:val="en-US" w:eastAsia="zh-CN"/>
        </w:rPr>
      </w:pPr>
    </w:p>
    <w:p w14:paraId="06704092">
      <w:pPr>
        <w:widowControl w:val="0"/>
        <w:adjustRightInd w:val="0"/>
        <w:snapToGrid w:val="0"/>
        <w:spacing w:before="0" w:beforeLines="0" w:after="0" w:line="400" w:lineRule="exact"/>
        <w:ind w:left="0" w:leftChars="0" w:firstLine="420" w:firstLineChars="20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依据《中华人民共和国民法典》、《中华人民共和国政府采购法》等有关的法律法规，以及</w:t>
      </w:r>
      <w:r>
        <w:rPr>
          <w:rFonts w:hint="default" w:ascii="Times New Roman" w:hAnsi="Times New Roman" w:eastAsia="宋体" w:cs="Times New Roman"/>
          <w:i w:val="0"/>
          <w:iCs w:val="0"/>
          <w:color w:val="auto"/>
          <w:kern w:val="2"/>
          <w:sz w:val="21"/>
          <w:szCs w:val="21"/>
          <w:highlight w:val="none"/>
          <w:u w:val="none"/>
          <w:lang w:val="en-US" w:eastAsia="zh-CN" w:bidi="ar-SA"/>
        </w:rPr>
        <w:t>本采购项目</w:t>
      </w:r>
      <w:r>
        <w:rPr>
          <w:rFonts w:hint="default" w:ascii="Times New Roman" w:hAnsi="Times New Roman" w:eastAsia="宋体" w:cs="Times New Roman"/>
          <w:color w:val="auto"/>
          <w:kern w:val="2"/>
          <w:sz w:val="21"/>
          <w:szCs w:val="21"/>
          <w:highlight w:val="none"/>
          <w:lang w:val="en-US" w:eastAsia="zh-CN" w:bidi="ar-SA"/>
        </w:rPr>
        <w:t xml:space="preserve">的招标/谈判文件等采购文件、乙方的《投标（响应）文件》及《中标（成交）通知书》，甲乙双方同意签订本合同。具体情况及要求如下：     </w:t>
      </w:r>
    </w:p>
    <w:p w14:paraId="3D0FA8D8">
      <w:pPr>
        <w:numPr>
          <w:ilvl w:val="0"/>
          <w:numId w:val="3"/>
        </w:numPr>
        <w:adjustRightInd w:val="0"/>
        <w:snapToGrid w:val="0"/>
        <w:spacing w:before="0" w:beforeLines="0" w:line="40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项目信息</w:t>
      </w:r>
    </w:p>
    <w:p w14:paraId="2EA456E0">
      <w:pPr>
        <w:widowControl w:val="0"/>
        <w:numPr>
          <w:ilvl w:val="0"/>
          <w:numId w:val="4"/>
        </w:numPr>
        <w:adjustRightInd w:val="0"/>
        <w:snapToGrid w:val="0"/>
        <w:spacing w:before="0" w:beforeLines="0" w:after="0" w:line="400" w:lineRule="exact"/>
        <w:ind w:left="0" w:leftChars="0" w:firstLine="420" w:firstLineChars="200"/>
        <w:jc w:val="both"/>
        <w:rPr>
          <w:rFonts w:hint="default" w:ascii="Times New Roman" w:hAnsi="Times New Roman" w:eastAsia="宋体" w:cs="Times New Roman"/>
          <w:color w:val="auto"/>
          <w:kern w:val="2"/>
          <w:sz w:val="21"/>
          <w:szCs w:val="21"/>
          <w:highlight w:val="none"/>
          <w:u w:val="single"/>
          <w:lang w:val="en-US" w:eastAsia="zh-CN" w:bidi="ar-SA"/>
        </w:rPr>
      </w:pPr>
      <w:r>
        <w:rPr>
          <w:rFonts w:hint="default" w:ascii="Times New Roman" w:hAnsi="Times New Roman" w:eastAsia="宋体" w:cs="Times New Roman"/>
          <w:color w:val="auto"/>
          <w:kern w:val="2"/>
          <w:sz w:val="21"/>
          <w:szCs w:val="21"/>
          <w:highlight w:val="none"/>
          <w:lang w:val="en-US" w:eastAsia="zh-CN" w:bidi="ar-SA"/>
        </w:rPr>
        <w:t>采购项目名称：</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31129E77">
      <w:pPr>
        <w:widowControl w:val="0"/>
        <w:numPr>
          <w:ilvl w:val="0"/>
          <w:numId w:val="0"/>
        </w:numPr>
        <w:tabs>
          <w:tab w:val="left" w:pos="999"/>
        </w:tabs>
        <w:adjustRightInd w:val="0"/>
        <w:snapToGrid w:val="0"/>
        <w:spacing w:before="0" w:beforeLines="0" w:after="0" w:line="400" w:lineRule="exact"/>
        <w:ind w:left="0" w:leftChars="0" w:firstLine="0" w:firstLineChars="0"/>
        <w:jc w:val="both"/>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 xml:space="preserve">         采购项目编号：</w:t>
      </w:r>
      <w:r>
        <w:rPr>
          <w:rFonts w:hint="default" w:ascii="Times New Roman" w:hAnsi="Times New Roman" w:eastAsia="宋体" w:cs="Times New Roman"/>
          <w:color w:val="auto"/>
          <w:kern w:val="2"/>
          <w:sz w:val="21"/>
          <w:szCs w:val="21"/>
          <w:highlight w:val="none"/>
          <w:u w:val="single"/>
          <w:lang w:val="en-US" w:eastAsia="zh-CN" w:bidi="ar-SA"/>
        </w:rPr>
        <w:t xml:space="preserve">                                          </w:t>
      </w:r>
    </w:p>
    <w:p w14:paraId="2BDD9E3F">
      <w:pPr>
        <w:widowControl w:val="0"/>
        <w:adjustRightInd w:val="0"/>
        <w:snapToGrid w:val="0"/>
        <w:spacing w:before="0" w:beforeLines="0" w:after="0" w:line="400" w:lineRule="exact"/>
        <w:ind w:left="0" w:leftChars="0" w:firstLine="420" w:firstLineChars="20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（2）采购计划编号：</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 xml:space="preserve"> </w:t>
      </w:r>
    </w:p>
    <w:p w14:paraId="7D7E8927">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（3）项目内容：</w:t>
      </w:r>
    </w:p>
    <w:p w14:paraId="37AA8B51">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采购标的及数量</w:t>
      </w:r>
      <w:r>
        <w:rPr>
          <w:rFonts w:hint="default" w:ascii="Times New Roman" w:hAnsi="Times New Roman" w:eastAsia="宋体" w:cs="Times New Roman"/>
          <w:color w:val="auto"/>
          <w:szCs w:val="21"/>
          <w:highlight w:val="none"/>
          <w:lang w:val="en-US" w:eastAsia="zh-CN"/>
        </w:rPr>
        <w:t>（台/套</w:t>
      </w:r>
      <w:r>
        <w:rPr>
          <w:rFonts w:hint="default" w:ascii="Times New Roman" w:hAnsi="Times New Roman" w:eastAsia="宋体" w:cs="Times New Roman"/>
          <w:color w:val="auto"/>
          <w:szCs w:val="21"/>
          <w:highlight w:val="none"/>
          <w:lang w:val="en" w:eastAsia="zh-CN"/>
        </w:rPr>
        <w:t>/个/架/组等</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none"/>
          <w:lang w:val="en-US" w:eastAsia="zh-CN"/>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lang w:val="en-US" w:eastAsia="zh-CN"/>
        </w:rPr>
        <w:t xml:space="preserve"> </w:t>
      </w:r>
    </w:p>
    <w:p w14:paraId="141436AD">
      <w:pPr>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lang w:val="en" w:eastAsia="zh-CN"/>
        </w:rPr>
      </w:pPr>
      <w:r>
        <w:rPr>
          <w:rFonts w:hint="default" w:ascii="Times New Roman" w:hAnsi="Times New Roman" w:eastAsia="宋体" w:cs="Times New Roman"/>
          <w:color w:val="auto"/>
          <w:szCs w:val="21"/>
          <w:highlight w:val="none"/>
          <w:u w:val="none"/>
          <w:lang w:val="en-US" w:eastAsia="zh-CN"/>
        </w:rPr>
        <w:t xml:space="preserve">     </w:t>
      </w:r>
      <w:r>
        <w:rPr>
          <w:rFonts w:hint="default" w:ascii="Times New Roman" w:hAnsi="Times New Roman" w:eastAsia="宋体" w:cs="Times New Roman"/>
          <w:color w:val="auto"/>
          <w:szCs w:val="21"/>
          <w:highlight w:val="none"/>
          <w:lang w:val="en-US" w:eastAsia="zh-CN"/>
        </w:rPr>
        <w:t>品牌：</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lang w:val="en" w:eastAsia="zh-CN"/>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lang w:val="en" w:eastAsia="zh-CN"/>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none"/>
          <w:lang w:val="en" w:eastAsia="zh-CN"/>
        </w:rPr>
        <w:t xml:space="preserve">     </w:t>
      </w:r>
      <w:r>
        <w:rPr>
          <w:rFonts w:hint="default" w:ascii="Times New Roman" w:hAnsi="Times New Roman" w:eastAsia="宋体" w:cs="Times New Roman"/>
          <w:color w:val="auto"/>
          <w:szCs w:val="21"/>
          <w:highlight w:val="none"/>
          <w:lang w:val="en-US" w:eastAsia="zh-CN"/>
        </w:rPr>
        <w:t>规格型号：</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lang w:val="en" w:eastAsia="zh-CN"/>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lang w:val="en" w:eastAsia="zh-CN"/>
        </w:rPr>
        <w:t xml:space="preserve">   </w:t>
      </w:r>
    </w:p>
    <w:p w14:paraId="24B28202">
      <w:pPr>
        <w:adjustRightInd w:val="0"/>
        <w:snapToGrid w:val="0"/>
        <w:spacing w:before="0" w:beforeLines="0" w:line="400" w:lineRule="exact"/>
        <w:ind w:firstLine="945" w:firstLineChars="45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none"/>
          <w:lang w:val="en-US" w:eastAsia="zh-CN"/>
        </w:rPr>
        <w:t>采购标的的技术要求、商务要求具体见附件。</w:t>
      </w:r>
    </w:p>
    <w:p w14:paraId="7115CE83">
      <w:pPr>
        <w:numPr>
          <w:ilvl w:val="0"/>
          <w:numId w:val="0"/>
        </w:numPr>
        <w:adjustRightInd w:val="0"/>
        <w:snapToGrid w:val="0"/>
        <w:spacing w:before="0" w:beforeLines="0" w:line="400" w:lineRule="exact"/>
        <w:ind w:firstLine="945" w:firstLineChars="450"/>
        <w:rPr>
          <w:rFonts w:hint="default" w:ascii="Times New Roman" w:hAnsi="Times New Roman" w:eastAsia="宋体" w:cs="Times New Roman"/>
          <w:color w:val="auto"/>
          <w:szCs w:val="21"/>
          <w:highlight w:val="none"/>
          <w:lang w:val="en-US" w:eastAsia="zh-CN"/>
        </w:rPr>
      </w:pPr>
      <w:r>
        <w:rPr>
          <w:rFonts w:hint="default" w:ascii="Times New Roman" w:hAnsi="Times New Roman" w:eastAsia="汉仪书宋二S" w:cs="Times New Roman"/>
          <w:color w:val="auto"/>
          <w:szCs w:val="21"/>
          <w:highlight w:val="none"/>
          <w:lang w:val="en-US" w:eastAsia="zh-CN"/>
        </w:rPr>
        <w:t>①</w:t>
      </w:r>
      <w:r>
        <w:rPr>
          <w:rFonts w:hint="default" w:ascii="Times New Roman" w:hAnsi="Times New Roman" w:eastAsia="宋体" w:cs="Times New Roman"/>
          <w:color w:val="auto"/>
          <w:szCs w:val="21"/>
          <w:highlight w:val="none"/>
          <w:lang w:val="en-US" w:eastAsia="zh-CN"/>
        </w:rPr>
        <w:t>涉及信息类产品，请填写该产品关键部件的品牌、型号：</w:t>
      </w:r>
    </w:p>
    <w:p w14:paraId="3E5099CB">
      <w:pPr>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color w:val="auto"/>
          <w:kern w:val="0"/>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 xml:space="preserve">     标的名称：</w:t>
      </w:r>
      <w:r>
        <w:rPr>
          <w:rFonts w:hint="default" w:ascii="Times New Roman" w:hAnsi="Times New Roman" w:eastAsia="宋体" w:cs="Times New Roman"/>
          <w:color w:val="auto"/>
          <w:kern w:val="0"/>
          <w:szCs w:val="21"/>
          <w:highlight w:val="none"/>
          <w:u w:val="single"/>
          <w:lang w:val="en-US" w:eastAsia="zh-CN"/>
        </w:rPr>
        <w:t xml:space="preserve">      </w:t>
      </w:r>
      <w:r>
        <w:rPr>
          <w:rFonts w:hint="default" w:ascii="Times New Roman" w:hAnsi="Times New Roman" w:eastAsia="宋体" w:cs="Times New Roman"/>
          <w:color w:val="auto"/>
          <w:kern w:val="0"/>
          <w:szCs w:val="21"/>
          <w:highlight w:val="none"/>
          <w:u w:val="single"/>
          <w:lang w:val="en" w:eastAsia="zh-CN"/>
        </w:rPr>
        <w:t xml:space="preserve">               </w:t>
      </w:r>
      <w:r>
        <w:rPr>
          <w:rFonts w:hint="default" w:ascii="Times New Roman" w:hAnsi="Times New Roman" w:eastAsia="宋体" w:cs="Times New Roman"/>
          <w:color w:val="auto"/>
          <w:kern w:val="0"/>
          <w:szCs w:val="21"/>
          <w:highlight w:val="none"/>
          <w:u w:val="single"/>
          <w:lang w:val="en-US" w:eastAsia="zh-CN"/>
        </w:rPr>
        <w:t xml:space="preserve">    </w:t>
      </w:r>
    </w:p>
    <w:p w14:paraId="12517D51">
      <w:pPr>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     关键部件：</w:t>
      </w:r>
      <w:r>
        <w:rPr>
          <w:rFonts w:hint="default" w:ascii="Times New Roman" w:hAnsi="Times New Roman" w:eastAsia="宋体" w:cs="Times New Roman"/>
          <w:color w:val="auto"/>
          <w:kern w:val="0"/>
          <w:szCs w:val="21"/>
          <w:highlight w:val="none"/>
          <w:u w:val="single"/>
          <w:lang w:val="en-US" w:eastAsia="zh-CN"/>
        </w:rPr>
        <w:t xml:space="preserve">          </w:t>
      </w:r>
      <w:r>
        <w:rPr>
          <w:rFonts w:hint="default" w:ascii="Times New Roman" w:hAnsi="Times New Roman" w:eastAsia="宋体" w:cs="Times New Roman"/>
          <w:color w:val="auto"/>
          <w:kern w:val="0"/>
          <w:szCs w:val="21"/>
          <w:highlight w:val="none"/>
          <w:u w:val="none"/>
          <w:lang w:val="en-US" w:eastAsia="zh-CN"/>
        </w:rPr>
        <w:t xml:space="preserve"> </w:t>
      </w:r>
      <w:r>
        <w:rPr>
          <w:rFonts w:hint="default" w:ascii="Times New Roman" w:hAnsi="Times New Roman" w:eastAsia="宋体" w:cs="Times New Roman"/>
          <w:color w:val="auto"/>
          <w:szCs w:val="21"/>
          <w:highlight w:val="none"/>
          <w:lang w:val="en-US" w:eastAsia="zh-CN"/>
        </w:rPr>
        <w:t>品牌：</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none"/>
          <w:lang w:val="en-US" w:eastAsia="zh-CN"/>
        </w:rPr>
        <w:t xml:space="preserve"> </w:t>
      </w:r>
      <w:r>
        <w:rPr>
          <w:rFonts w:hint="default" w:ascii="Times New Roman" w:hAnsi="Times New Roman" w:eastAsia="宋体" w:cs="Times New Roman"/>
          <w:color w:val="auto"/>
          <w:szCs w:val="21"/>
          <w:highlight w:val="none"/>
          <w:lang w:val="en-US" w:eastAsia="zh-CN"/>
        </w:rPr>
        <w:t>型号：</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lang w:val="en-US" w:eastAsia="zh-CN"/>
        </w:rPr>
        <w:t xml:space="preserve"> </w:t>
      </w:r>
    </w:p>
    <w:p w14:paraId="674E79E7">
      <w:pPr>
        <w:autoSpaceDE w:val="0"/>
        <w:autoSpaceDN w:val="0"/>
        <w:adjustRightInd w:val="0"/>
        <w:spacing w:beforeLines="0" w:line="40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关键部件</w:t>
      </w: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u w:val="single"/>
          <w:lang w:val="en-US" w:eastAsia="zh-CN" w:bidi="ar-SA"/>
        </w:rPr>
        <w:t xml:space="preserve">          </w:t>
      </w:r>
      <w:r>
        <w:rPr>
          <w:rFonts w:hint="default" w:ascii="Times New Roman" w:hAnsi="Times New Roman" w:eastAsia="宋体" w:cs="Times New Roman"/>
          <w:color w:val="auto"/>
          <w:sz w:val="21"/>
          <w:szCs w:val="21"/>
          <w:highlight w:val="none"/>
          <w:u w:val="none"/>
          <w:lang w:val="en-US" w:eastAsia="zh-CN" w:bidi="ar-SA"/>
        </w:rPr>
        <w:t xml:space="preserve"> </w:t>
      </w:r>
      <w:r>
        <w:rPr>
          <w:rFonts w:hint="default" w:ascii="Times New Roman" w:hAnsi="Times New Roman" w:eastAsia="宋体" w:cs="Times New Roman"/>
          <w:color w:val="auto"/>
          <w:sz w:val="21"/>
          <w:szCs w:val="21"/>
          <w:highlight w:val="none"/>
          <w:lang w:val="en-US" w:eastAsia="zh-CN" w:bidi="ar-SA"/>
        </w:rPr>
        <w:t>品牌：</w:t>
      </w:r>
      <w:r>
        <w:rPr>
          <w:rFonts w:hint="default" w:ascii="Times New Roman" w:hAnsi="Times New Roman" w:eastAsia="宋体" w:cs="Times New Roman"/>
          <w:color w:val="auto"/>
          <w:sz w:val="21"/>
          <w:szCs w:val="21"/>
          <w:highlight w:val="none"/>
          <w:u w:val="single"/>
          <w:lang w:val="en-US" w:eastAsia="zh-CN" w:bidi="ar-SA"/>
        </w:rPr>
        <w:t xml:space="preserve">        </w:t>
      </w:r>
      <w:r>
        <w:rPr>
          <w:rFonts w:hint="default" w:ascii="Times New Roman" w:hAnsi="Times New Roman" w:eastAsia="宋体" w:cs="Times New Roman"/>
          <w:color w:val="auto"/>
          <w:sz w:val="21"/>
          <w:szCs w:val="21"/>
          <w:highlight w:val="none"/>
          <w:u w:val="none"/>
          <w:lang w:val="en-US" w:eastAsia="zh-CN" w:bidi="ar-SA"/>
        </w:rPr>
        <w:t xml:space="preserve"> </w:t>
      </w:r>
      <w:r>
        <w:rPr>
          <w:rFonts w:hint="default" w:ascii="Times New Roman" w:hAnsi="Times New Roman" w:eastAsia="宋体" w:cs="Times New Roman"/>
          <w:color w:val="auto"/>
          <w:sz w:val="21"/>
          <w:szCs w:val="21"/>
          <w:highlight w:val="none"/>
          <w:lang w:val="en-US" w:eastAsia="zh-CN" w:bidi="ar-SA"/>
        </w:rPr>
        <w:t>型号：</w:t>
      </w:r>
      <w:r>
        <w:rPr>
          <w:rFonts w:hint="default" w:ascii="Times New Roman" w:hAnsi="Times New Roman" w:eastAsia="宋体" w:cs="Times New Roman"/>
          <w:color w:val="auto"/>
          <w:sz w:val="21"/>
          <w:szCs w:val="21"/>
          <w:highlight w:val="none"/>
          <w:u w:val="single"/>
          <w:lang w:val="en-US" w:eastAsia="zh-CN" w:bidi="ar-SA"/>
        </w:rPr>
        <w:t xml:space="preserve">       </w:t>
      </w:r>
      <w:r>
        <w:rPr>
          <w:rFonts w:hint="default" w:ascii="Times New Roman" w:hAnsi="Times New Roman" w:eastAsia="宋体" w:cs="Times New Roman"/>
          <w:color w:val="auto"/>
          <w:sz w:val="21"/>
          <w:szCs w:val="21"/>
          <w:highlight w:val="none"/>
          <w:lang w:val="en-US" w:eastAsia="zh-CN" w:bidi="ar-SA"/>
        </w:rPr>
        <w:t xml:space="preserve"> </w:t>
      </w:r>
    </w:p>
    <w:p w14:paraId="08279148">
      <w:pPr>
        <w:autoSpaceDE w:val="0"/>
        <w:autoSpaceDN w:val="0"/>
        <w:adjustRightInd w:val="0"/>
        <w:spacing w:beforeLines="0" w:line="40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     关键部件：</w:t>
      </w:r>
      <w:r>
        <w:rPr>
          <w:rFonts w:hint="default" w:ascii="Times New Roman" w:hAnsi="Times New Roman" w:eastAsia="宋体" w:cs="Times New Roman"/>
          <w:color w:val="auto"/>
          <w:sz w:val="21"/>
          <w:szCs w:val="21"/>
          <w:highlight w:val="none"/>
          <w:u w:val="single"/>
          <w:lang w:val="en-US" w:eastAsia="zh-CN" w:bidi="ar-SA"/>
        </w:rPr>
        <w:t xml:space="preserve">          </w:t>
      </w:r>
      <w:r>
        <w:rPr>
          <w:rFonts w:hint="default" w:ascii="Times New Roman" w:hAnsi="Times New Roman" w:eastAsia="宋体" w:cs="Times New Roman"/>
          <w:color w:val="auto"/>
          <w:sz w:val="21"/>
          <w:szCs w:val="21"/>
          <w:highlight w:val="none"/>
          <w:u w:val="none"/>
          <w:lang w:val="en-US" w:eastAsia="zh-CN" w:bidi="ar-SA"/>
        </w:rPr>
        <w:t xml:space="preserve"> </w:t>
      </w:r>
      <w:r>
        <w:rPr>
          <w:rFonts w:hint="default" w:ascii="Times New Roman" w:hAnsi="Times New Roman" w:eastAsia="宋体" w:cs="Times New Roman"/>
          <w:color w:val="auto"/>
          <w:sz w:val="21"/>
          <w:szCs w:val="21"/>
          <w:highlight w:val="none"/>
          <w:lang w:val="en-US" w:eastAsia="zh-CN" w:bidi="ar-SA"/>
        </w:rPr>
        <w:t>品牌：</w:t>
      </w:r>
      <w:r>
        <w:rPr>
          <w:rFonts w:hint="default" w:ascii="Times New Roman" w:hAnsi="Times New Roman" w:eastAsia="宋体" w:cs="Times New Roman"/>
          <w:color w:val="auto"/>
          <w:sz w:val="21"/>
          <w:szCs w:val="21"/>
          <w:highlight w:val="none"/>
          <w:u w:val="single"/>
          <w:lang w:val="en-US" w:eastAsia="zh-CN" w:bidi="ar-SA"/>
        </w:rPr>
        <w:t xml:space="preserve">        </w:t>
      </w:r>
      <w:r>
        <w:rPr>
          <w:rFonts w:hint="default" w:ascii="Times New Roman" w:hAnsi="Times New Roman" w:eastAsia="宋体" w:cs="Times New Roman"/>
          <w:color w:val="auto"/>
          <w:sz w:val="21"/>
          <w:szCs w:val="21"/>
          <w:highlight w:val="none"/>
          <w:u w:val="none"/>
          <w:lang w:val="en-US" w:eastAsia="zh-CN" w:bidi="ar-SA"/>
        </w:rPr>
        <w:t xml:space="preserve"> </w:t>
      </w:r>
      <w:r>
        <w:rPr>
          <w:rFonts w:hint="default" w:ascii="Times New Roman" w:hAnsi="Times New Roman" w:eastAsia="宋体" w:cs="Times New Roman"/>
          <w:color w:val="auto"/>
          <w:sz w:val="21"/>
          <w:szCs w:val="21"/>
          <w:highlight w:val="none"/>
          <w:lang w:val="en-US" w:eastAsia="zh-CN" w:bidi="ar-SA"/>
        </w:rPr>
        <w:t>型号：</w:t>
      </w:r>
      <w:r>
        <w:rPr>
          <w:rFonts w:hint="default" w:ascii="Times New Roman" w:hAnsi="Times New Roman" w:eastAsia="宋体" w:cs="Times New Roman"/>
          <w:color w:val="auto"/>
          <w:sz w:val="21"/>
          <w:szCs w:val="21"/>
          <w:highlight w:val="none"/>
          <w:u w:val="single"/>
          <w:lang w:val="en-US" w:eastAsia="zh-CN" w:bidi="ar-SA"/>
        </w:rPr>
        <w:t xml:space="preserve">       </w:t>
      </w:r>
    </w:p>
    <w:p w14:paraId="2A2B9972">
      <w:pPr>
        <w:numPr>
          <w:ilvl w:val="0"/>
          <w:numId w:val="0"/>
        </w:numPr>
        <w:autoSpaceDE w:val="0"/>
        <w:autoSpaceDN w:val="0"/>
        <w:adjustRightInd w:val="0"/>
        <w:snapToGrid w:val="0"/>
        <w:spacing w:before="0" w:beforeLines="0" w:line="400" w:lineRule="exact"/>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14:paraId="259794D8">
      <w:pPr>
        <w:numPr>
          <w:ilvl w:val="0"/>
          <w:numId w:val="0"/>
        </w:numPr>
        <w:autoSpaceDE w:val="0"/>
        <w:autoSpaceDN w:val="0"/>
        <w:adjustRightInd w:val="0"/>
        <w:snapToGrid w:val="0"/>
        <w:spacing w:before="0" w:beforeLines="0" w:line="400" w:lineRule="exact"/>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         </w:t>
      </w:r>
      <w:r>
        <w:rPr>
          <w:rFonts w:hint="default" w:ascii="Times New Roman" w:hAnsi="Times New Roman" w:eastAsia="汉仪书宋二S" w:cs="Times New Roman"/>
          <w:color w:val="auto"/>
          <w:sz w:val="21"/>
          <w:szCs w:val="21"/>
          <w:highlight w:val="none"/>
          <w:lang w:val="en-US" w:eastAsia="zh-CN" w:bidi="ar-SA"/>
        </w:rPr>
        <w:t>②</w:t>
      </w:r>
      <w:r>
        <w:rPr>
          <w:rFonts w:hint="default" w:ascii="Times New Roman" w:hAnsi="Times New Roman" w:eastAsia="宋体" w:cs="Times New Roman"/>
          <w:color w:val="auto"/>
          <w:sz w:val="21"/>
          <w:szCs w:val="21"/>
          <w:highlight w:val="none"/>
          <w:lang w:val="en-US" w:eastAsia="zh-CN" w:bidi="ar-SA"/>
        </w:rPr>
        <w:t>涉及车辆采购，请填写是否属于新能源汽车：</w:t>
      </w:r>
    </w:p>
    <w:p w14:paraId="4B8B833A">
      <w:pPr>
        <w:numPr>
          <w:ilvl w:val="0"/>
          <w:numId w:val="0"/>
        </w:numPr>
        <w:autoSpaceDE w:val="0"/>
        <w:autoSpaceDN w:val="0"/>
        <w:adjustRightInd w:val="0"/>
        <w:snapToGrid w:val="0"/>
        <w:spacing w:before="0" w:beforeLines="0" w:line="400" w:lineRule="exact"/>
        <w:ind w:firstLine="0" w:firstLineChars="0"/>
        <w:rPr>
          <w:rFonts w:hint="default" w:ascii="Times New Roman" w:hAnsi="Times New Roman" w:eastAsia="宋体" w:cs="Times New Roman"/>
          <w:iCs w:val="0"/>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是，《政府采购品目分类目录》底级品目名称</w:t>
      </w: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highlight w:val="none"/>
          <w:u w:val="single"/>
          <w:lang w:val="en-US" w:eastAsia="zh-CN" w:bidi="ar-SA"/>
        </w:rPr>
        <w:t xml:space="preserve">     </w:t>
      </w:r>
      <w:r>
        <w:rPr>
          <w:rFonts w:hint="default" w:ascii="Times New Roman" w:hAnsi="Times New Roman" w:eastAsia="宋体" w:cs="Times New Roman"/>
          <w:color w:val="auto"/>
          <w:sz w:val="21"/>
          <w:szCs w:val="21"/>
          <w:highlight w:val="none"/>
          <w:lang w:val="en-US" w:eastAsia="zh-CN" w:bidi="ar-SA"/>
        </w:rPr>
        <w:t xml:space="preserve"> 数量：</w:t>
      </w:r>
      <w:r>
        <w:rPr>
          <w:rFonts w:hint="default" w:ascii="Times New Roman" w:hAnsi="Times New Roman" w:eastAsia="宋体" w:cs="Times New Roman"/>
          <w:color w:val="auto"/>
          <w:sz w:val="21"/>
          <w:szCs w:val="21"/>
          <w:highlight w:val="none"/>
          <w:u w:val="single"/>
          <w:lang w:val="en-US" w:eastAsia="zh-CN" w:bidi="ar-SA"/>
        </w:rPr>
        <w:t xml:space="preserve">    </w:t>
      </w:r>
      <w:r>
        <w:rPr>
          <w:rFonts w:hint="default" w:ascii="Times New Roman" w:hAnsi="Times New Roman" w:eastAsia="宋体" w:cs="Times New Roman"/>
          <w:color w:val="auto"/>
          <w:sz w:val="21"/>
          <w:szCs w:val="21"/>
          <w:highlight w:val="none"/>
          <w:lang w:val="en-US" w:eastAsia="zh-CN" w:bidi="ar-SA"/>
        </w:rPr>
        <w:t xml:space="preserve"> 金额：</w:t>
      </w:r>
      <w:r>
        <w:rPr>
          <w:rFonts w:hint="default" w:ascii="Times New Roman" w:hAnsi="Times New Roman" w:eastAsia="宋体" w:cs="Times New Roman"/>
          <w:color w:val="auto"/>
          <w:sz w:val="21"/>
          <w:szCs w:val="21"/>
          <w:highlight w:val="none"/>
          <w:u w:val="single"/>
          <w:lang w:val="en-US" w:eastAsia="zh-CN" w:bidi="ar-SA"/>
        </w:rPr>
        <w:t xml:space="preserve">     </w:t>
      </w:r>
      <w:r>
        <w:rPr>
          <w:rFonts w:hint="default" w:ascii="Times New Roman" w:hAnsi="Times New Roman" w:eastAsia="宋体" w:cs="Times New Roman"/>
          <w:iCs w:val="0"/>
          <w:color w:val="auto"/>
          <w:sz w:val="21"/>
          <w:szCs w:val="21"/>
          <w:highlight w:val="none"/>
          <w:lang w:val="en-US" w:eastAsia="zh-CN" w:bidi="ar-SA"/>
        </w:rPr>
        <w:t xml:space="preserve"> </w:t>
      </w:r>
    </w:p>
    <w:p w14:paraId="41008B34">
      <w:pPr>
        <w:numPr>
          <w:ilvl w:val="0"/>
          <w:numId w:val="0"/>
        </w:numPr>
        <w:autoSpaceDE w:val="0"/>
        <w:autoSpaceDN w:val="0"/>
        <w:adjustRightInd w:val="0"/>
        <w:snapToGrid w:val="0"/>
        <w:spacing w:before="0" w:beforeLines="0" w:line="400" w:lineRule="exact"/>
        <w:ind w:firstLine="0" w:firstLineChars="0"/>
        <w:rPr>
          <w:rFonts w:hint="default" w:ascii="Times New Roman" w:hAnsi="Times New Roman" w:eastAsia="宋体" w:cs="Times New Roman"/>
          <w:iCs w:val="0"/>
          <w:color w:val="auto"/>
          <w:sz w:val="21"/>
          <w:szCs w:val="21"/>
          <w:highlight w:val="none"/>
          <w:lang w:val="en-US" w:eastAsia="zh-CN" w:bidi="ar-SA"/>
        </w:rPr>
      </w:pPr>
      <w:r>
        <w:rPr>
          <w:rFonts w:hint="default" w:ascii="Times New Roman" w:hAnsi="Times New Roman" w:eastAsia="宋体" w:cs="Times New Roman"/>
          <w:iCs w:val="0"/>
          <w:color w:val="auto"/>
          <w:sz w:val="21"/>
          <w:szCs w:val="21"/>
          <w:highlight w:val="none"/>
          <w:lang w:val="en-US" w:eastAsia="zh-CN" w:bidi="ar-SA"/>
        </w:rPr>
        <w:t xml:space="preserve">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否</w:t>
      </w:r>
    </w:p>
    <w:p w14:paraId="685BF098">
      <w:pPr>
        <w:numPr>
          <w:ilvl w:val="0"/>
          <w:numId w:val="0"/>
        </w:numPr>
        <w:autoSpaceDE w:val="0"/>
        <w:autoSpaceDN w:val="0"/>
        <w:adjustRightInd w:val="0"/>
        <w:snapToGrid w:val="0"/>
        <w:spacing w:before="0" w:beforeLines="0" w:line="400" w:lineRule="exact"/>
        <w:ind w:left="0" w:firstLine="0" w:firstLineChars="0"/>
        <w:rPr>
          <w:rFonts w:hint="default" w:ascii="Times New Roman" w:hAnsi="Times New Roman" w:eastAsia="宋体" w:cs="Times New Roman"/>
          <w:iCs w:val="0"/>
          <w:color w:val="auto"/>
          <w:sz w:val="21"/>
          <w:szCs w:val="21"/>
          <w:highlight w:val="none"/>
          <w:lang w:val="en-US" w:eastAsia="zh-CN" w:bidi="ar-SA"/>
        </w:rPr>
      </w:pPr>
      <w:r>
        <w:rPr>
          <w:rFonts w:hint="default" w:ascii="Times New Roman" w:hAnsi="Times New Roman" w:eastAsia="宋体" w:cs="Times New Roman"/>
          <w:iCs w:val="0"/>
          <w:color w:val="auto"/>
          <w:sz w:val="21"/>
          <w:szCs w:val="21"/>
          <w:highlight w:val="none"/>
          <w:lang w:val="en-US" w:eastAsia="zh-CN" w:bidi="ar-SA"/>
        </w:rPr>
        <w:t xml:space="preserve">    （</w:t>
      </w:r>
      <w:r>
        <w:rPr>
          <w:rFonts w:hint="default" w:ascii="Times New Roman" w:hAnsi="Times New Roman" w:eastAsia="宋体" w:cs="Times New Roman"/>
          <w:iCs w:val="0"/>
          <w:color w:val="auto"/>
          <w:sz w:val="21"/>
          <w:szCs w:val="21"/>
          <w:highlight w:val="none"/>
          <w:lang w:val="en" w:eastAsia="zh-CN" w:bidi="ar-SA"/>
        </w:rPr>
        <w:t>4</w:t>
      </w:r>
      <w:r>
        <w:rPr>
          <w:rFonts w:hint="default" w:ascii="Times New Roman" w:hAnsi="Times New Roman" w:eastAsia="宋体" w:cs="Times New Roman"/>
          <w:iCs w:val="0"/>
          <w:color w:val="auto"/>
          <w:sz w:val="21"/>
          <w:szCs w:val="21"/>
          <w:highlight w:val="none"/>
          <w:lang w:val="en-US" w:eastAsia="zh-CN" w:bidi="ar-SA"/>
        </w:rPr>
        <w:t>）政府采购组织形式：</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 xml:space="preserve">政府集中采购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 xml:space="preserve">部门集中采购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分散采购</w:t>
      </w:r>
    </w:p>
    <w:p w14:paraId="299E4318">
      <w:pPr>
        <w:numPr>
          <w:ilvl w:val="0"/>
          <w:numId w:val="0"/>
        </w:numPr>
        <w:autoSpaceDE w:val="0"/>
        <w:autoSpaceDN w:val="0"/>
        <w:adjustRightInd w:val="0"/>
        <w:snapToGrid w:val="0"/>
        <w:spacing w:before="0" w:beforeLines="0" w:line="400" w:lineRule="exact"/>
        <w:ind w:left="0" w:firstLine="420" w:firstLineChars="0"/>
        <w:rPr>
          <w:rFonts w:hint="default" w:ascii="Times New Roman" w:hAnsi="Times New Roman" w:eastAsia="宋体" w:cs="Times New Roman"/>
          <w:iCs w:val="0"/>
          <w:color w:val="auto"/>
          <w:sz w:val="21"/>
          <w:szCs w:val="21"/>
          <w:highlight w:val="none"/>
          <w:lang w:val="en-US" w:eastAsia="zh-CN" w:bidi="ar-SA"/>
        </w:rPr>
      </w:pPr>
      <w:r>
        <w:rPr>
          <w:rFonts w:hint="default" w:ascii="Times New Roman" w:hAnsi="Times New Roman" w:eastAsia="宋体" w:cs="Times New Roman"/>
          <w:iCs w:val="0"/>
          <w:color w:val="auto"/>
          <w:sz w:val="21"/>
          <w:szCs w:val="21"/>
          <w:highlight w:val="none"/>
          <w:lang w:val="en-US" w:eastAsia="zh-CN" w:bidi="ar-SA"/>
        </w:rPr>
        <w:t>（</w:t>
      </w:r>
      <w:r>
        <w:rPr>
          <w:rFonts w:hint="default" w:ascii="Times New Roman" w:hAnsi="Times New Roman" w:eastAsia="宋体" w:cs="Times New Roman"/>
          <w:iCs w:val="0"/>
          <w:color w:val="auto"/>
          <w:sz w:val="21"/>
          <w:szCs w:val="21"/>
          <w:highlight w:val="none"/>
          <w:lang w:val="en" w:eastAsia="zh-CN" w:bidi="ar-SA"/>
        </w:rPr>
        <w:t>5</w:t>
      </w:r>
      <w:r>
        <w:rPr>
          <w:rFonts w:hint="default" w:ascii="Times New Roman" w:hAnsi="Times New Roman" w:eastAsia="宋体" w:cs="Times New Roman"/>
          <w:iCs w:val="0"/>
          <w:color w:val="auto"/>
          <w:sz w:val="21"/>
          <w:szCs w:val="21"/>
          <w:highlight w:val="none"/>
          <w:lang w:val="en-US" w:eastAsia="zh-CN" w:bidi="ar-SA"/>
        </w:rPr>
        <w:t>）政府采购方式：</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 xml:space="preserve">公开招标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 xml:space="preserve">邀请招标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 xml:space="preserve">竞争性谈判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竞争性磋商</w:t>
      </w:r>
    </w:p>
    <w:p w14:paraId="33BD4426">
      <w:pPr>
        <w:numPr>
          <w:ilvl w:val="0"/>
          <w:numId w:val="0"/>
        </w:numPr>
        <w:autoSpaceDE w:val="0"/>
        <w:autoSpaceDN w:val="0"/>
        <w:adjustRightInd w:val="0"/>
        <w:snapToGrid w:val="0"/>
        <w:spacing w:before="0" w:beforeLines="0" w:line="400" w:lineRule="exact"/>
        <w:ind w:left="0" w:firstLine="420" w:firstLineChars="0"/>
        <w:rPr>
          <w:rFonts w:hint="default" w:ascii="Times New Roman" w:hAnsi="Times New Roman" w:eastAsia="宋体" w:cs="Times New Roman"/>
          <w:iCs w:val="0"/>
          <w:color w:val="auto"/>
          <w:sz w:val="21"/>
          <w:szCs w:val="21"/>
          <w:highlight w:val="none"/>
          <w:u w:val="single"/>
          <w:lang w:val="en-US" w:eastAsia="zh-CN" w:bidi="ar-SA"/>
        </w:rPr>
      </w:pPr>
      <w:r>
        <w:rPr>
          <w:rFonts w:hint="default" w:ascii="Times New Roman" w:hAnsi="Times New Roman" w:eastAsia="华文楷体" w:cs="Times New Roman"/>
          <w:color w:val="auto"/>
          <w:sz w:val="22"/>
          <w:szCs w:val="21"/>
          <w:highlight w:val="none"/>
          <w:u w:val="none"/>
          <w:lang w:val="en-US" w:eastAsia="zh-CN" w:bidi="ar-SA"/>
        </w:rPr>
        <w:t xml:space="preserve">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 xml:space="preserve">询价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 xml:space="preserve">单一来源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 xml:space="preserve">框架协议 </w:t>
      </w:r>
      <w:r>
        <w:rPr>
          <w:rFonts w:hint="default" w:ascii="Times New Roman" w:hAnsi="Times New Roman" w:eastAsia="宋体" w:cs="Times New Roman"/>
          <w:iCs w:val="0"/>
          <w:color w:val="auto"/>
          <w:sz w:val="21"/>
          <w:szCs w:val="21"/>
          <w:highlight w:val="none"/>
          <w:lang w:val="en-US" w:eastAsia="zh-CN" w:bidi="ar-SA"/>
        </w:rPr>
        <w:sym w:font="Wingdings" w:char="00A8"/>
      </w:r>
      <w:r>
        <w:rPr>
          <w:rFonts w:hint="default" w:ascii="Times New Roman" w:hAnsi="Times New Roman" w:eastAsia="宋体" w:cs="Times New Roman"/>
          <w:iCs w:val="0"/>
          <w:color w:val="auto"/>
          <w:sz w:val="21"/>
          <w:szCs w:val="21"/>
          <w:highlight w:val="none"/>
          <w:lang w:val="en-US" w:eastAsia="zh-CN" w:bidi="ar-SA"/>
        </w:rPr>
        <w:t>其他：</w:t>
      </w:r>
      <w:r>
        <w:rPr>
          <w:rFonts w:hint="default" w:ascii="Times New Roman" w:hAnsi="Times New Roman" w:eastAsia="宋体" w:cs="Times New Roman"/>
          <w:iCs w:val="0"/>
          <w:color w:val="auto"/>
          <w:sz w:val="21"/>
          <w:szCs w:val="21"/>
          <w:highlight w:val="none"/>
          <w:u w:val="single"/>
          <w:lang w:val="en-US" w:eastAsia="zh-CN" w:bidi="ar-SA"/>
        </w:rPr>
        <w:t xml:space="preserve">          </w:t>
      </w:r>
    </w:p>
    <w:p w14:paraId="7BF6900F">
      <w:pPr>
        <w:numPr>
          <w:ilvl w:val="0"/>
          <w:numId w:val="0"/>
        </w:numPr>
        <w:autoSpaceDE w:val="0"/>
        <w:autoSpaceDN w:val="0"/>
        <w:adjustRightInd w:val="0"/>
        <w:snapToGrid w:val="0"/>
        <w:spacing w:before="0" w:beforeLines="0" w:line="400" w:lineRule="exact"/>
        <w:ind w:left="0" w:firstLine="420" w:firstLineChars="0"/>
        <w:rPr>
          <w:rFonts w:hint="default" w:ascii="Times New Roman" w:hAnsi="Times New Roman" w:eastAsia="宋体" w:cs="Times New Roman"/>
          <w:iCs w:val="0"/>
          <w:color w:val="auto"/>
          <w:sz w:val="21"/>
          <w:szCs w:val="21"/>
          <w:highlight w:val="none"/>
          <w:u w:val="none"/>
          <w:lang w:val="en-US" w:eastAsia="zh-CN" w:bidi="ar-SA"/>
        </w:rPr>
      </w:pPr>
      <w:r>
        <w:rPr>
          <w:rFonts w:hint="default" w:ascii="Times New Roman" w:hAnsi="Times New Roman" w:eastAsia="宋体" w:cs="Times New Roman"/>
          <w:iCs w:val="0"/>
          <w:color w:val="auto"/>
          <w:sz w:val="21"/>
          <w:szCs w:val="21"/>
          <w:highlight w:val="none"/>
          <w:u w:val="none"/>
          <w:lang w:val="en-US" w:eastAsia="zh-CN" w:bidi="ar-SA"/>
        </w:rPr>
        <w:t>（注：在框架协议采购的第二阶段，可选择使用该合同文本）</w:t>
      </w:r>
    </w:p>
    <w:p w14:paraId="1B21D04A">
      <w:pPr>
        <w:numPr>
          <w:ilvl w:val="0"/>
          <w:numId w:val="0"/>
        </w:numPr>
        <w:autoSpaceDE w:val="0"/>
        <w:autoSpaceDN w:val="0"/>
        <w:adjustRightInd w:val="0"/>
        <w:snapToGrid w:val="0"/>
        <w:spacing w:before="0" w:beforeLines="0" w:line="400" w:lineRule="exact"/>
        <w:ind w:firstLine="220" w:firstLineChars="100"/>
        <w:rPr>
          <w:rFonts w:hint="default" w:ascii="Times New Roman" w:hAnsi="Times New Roman" w:eastAsia="宋体" w:cs="Times New Roman"/>
          <w:color w:val="auto"/>
          <w:w w:val="100"/>
          <w:kern w:val="2"/>
          <w:sz w:val="21"/>
          <w:szCs w:val="21"/>
          <w:highlight w:val="none"/>
          <w:lang w:val="en-US" w:eastAsia="zh-CN" w:bidi="ar-SA"/>
        </w:rPr>
      </w:pPr>
      <w:r>
        <w:rPr>
          <w:rFonts w:hint="default" w:ascii="Times New Roman" w:hAnsi="Times New Roman" w:eastAsia="华文楷体" w:cs="Times New Roman"/>
          <w:color w:val="auto"/>
          <w:sz w:val="22"/>
          <w:szCs w:val="21"/>
          <w:highlight w:val="none"/>
          <w:lang w:val="en-US" w:eastAsia="zh-CN" w:bidi="ar-SA"/>
        </w:rPr>
        <w:t xml:space="preserve"> （</w:t>
      </w:r>
      <w:r>
        <w:rPr>
          <w:rFonts w:hint="default" w:ascii="Times New Roman" w:hAnsi="Times New Roman" w:eastAsia="华文楷体" w:cs="Times New Roman"/>
          <w:color w:val="auto"/>
          <w:sz w:val="22"/>
          <w:szCs w:val="21"/>
          <w:highlight w:val="none"/>
          <w:lang w:val="en" w:eastAsia="zh-CN" w:bidi="ar-SA"/>
        </w:rPr>
        <w:t>6</w:t>
      </w:r>
      <w:r>
        <w:rPr>
          <w:rFonts w:hint="default" w:ascii="Times New Roman" w:hAnsi="Times New Roman" w:eastAsia="华文楷体" w:cs="Times New Roman"/>
          <w:color w:val="auto"/>
          <w:sz w:val="22"/>
          <w:szCs w:val="21"/>
          <w:highlight w:val="none"/>
          <w:lang w:val="en-US" w:eastAsia="zh-CN" w:bidi="ar-SA"/>
        </w:rPr>
        <w:t>）</w:t>
      </w:r>
      <w:r>
        <w:rPr>
          <w:rFonts w:hint="default" w:ascii="Times New Roman" w:hAnsi="Times New Roman" w:eastAsia="宋体" w:cs="Times New Roman"/>
          <w:color w:val="auto"/>
          <w:w w:val="100"/>
          <w:kern w:val="2"/>
          <w:sz w:val="21"/>
          <w:szCs w:val="21"/>
          <w:highlight w:val="none"/>
          <w:lang w:val="en-US" w:eastAsia="zh-CN" w:bidi="ar-SA"/>
        </w:rPr>
        <w:t>中标（成交）采购标的制造商是否为中小企业：</w:t>
      </w:r>
      <w:r>
        <w:rPr>
          <w:rFonts w:hint="default" w:ascii="Times New Roman" w:hAnsi="Times New Roman" w:eastAsia="宋体" w:cs="Times New Roman"/>
          <w:color w:val="auto"/>
          <w:w w:val="100"/>
          <w:kern w:val="2"/>
          <w:sz w:val="21"/>
          <w:szCs w:val="21"/>
          <w:highlight w:val="none"/>
          <w:lang w:val="en-US" w:eastAsia="zh-CN" w:bidi="ar-SA"/>
        </w:rPr>
        <w:sym w:font="Wingdings" w:char="00A8"/>
      </w:r>
      <w:r>
        <w:rPr>
          <w:rFonts w:hint="default" w:ascii="Times New Roman" w:hAnsi="Times New Roman" w:eastAsia="宋体" w:cs="Times New Roman"/>
          <w:color w:val="auto"/>
          <w:w w:val="100"/>
          <w:kern w:val="2"/>
          <w:sz w:val="21"/>
          <w:szCs w:val="21"/>
          <w:highlight w:val="none"/>
          <w:lang w:val="en-US" w:eastAsia="zh-CN" w:bidi="ar-SA"/>
        </w:rPr>
        <w:t xml:space="preserve">是      </w:t>
      </w:r>
      <w:r>
        <w:rPr>
          <w:rFonts w:hint="default" w:ascii="Times New Roman" w:hAnsi="Times New Roman" w:eastAsia="宋体" w:cs="Times New Roman"/>
          <w:color w:val="auto"/>
          <w:w w:val="100"/>
          <w:kern w:val="2"/>
          <w:sz w:val="21"/>
          <w:szCs w:val="21"/>
          <w:highlight w:val="none"/>
          <w:lang w:val="en-US" w:eastAsia="zh-CN" w:bidi="ar-SA"/>
        </w:rPr>
        <w:sym w:font="Wingdings" w:char="00A8"/>
      </w:r>
      <w:r>
        <w:rPr>
          <w:rFonts w:hint="default" w:ascii="Times New Roman" w:hAnsi="Times New Roman" w:eastAsia="宋体" w:cs="Times New Roman"/>
          <w:color w:val="auto"/>
          <w:w w:val="100"/>
          <w:kern w:val="2"/>
          <w:sz w:val="21"/>
          <w:szCs w:val="21"/>
          <w:highlight w:val="none"/>
          <w:lang w:val="en-US" w:eastAsia="zh-CN" w:bidi="ar-SA"/>
        </w:rPr>
        <w:t>否</w:t>
      </w:r>
    </w:p>
    <w:p w14:paraId="767D47B3">
      <w:pPr>
        <w:numPr>
          <w:ilvl w:val="0"/>
          <w:numId w:val="0"/>
        </w:numPr>
        <w:adjustRightInd w:val="0"/>
        <w:snapToGrid w:val="0"/>
        <w:spacing w:before="0" w:beforeLines="0" w:line="400" w:lineRule="exact"/>
        <w:ind w:left="0" w:leftChars="0" w:firstLine="0" w:firstLineChars="0"/>
        <w:rPr>
          <w:rFonts w:hint="default" w:ascii="Times New Roman" w:hAnsi="Times New Roman" w:eastAsia="宋体" w:cs="Times New Roman"/>
          <w:iCs/>
          <w:color w:val="auto"/>
          <w:szCs w:val="21"/>
          <w:highlight w:val="none"/>
        </w:rPr>
      </w:pPr>
      <w:r>
        <w:rPr>
          <w:rFonts w:hint="default" w:ascii="Times New Roman" w:hAnsi="Times New Roman" w:eastAsia="宋体" w:cs="Times New Roman"/>
          <w:color w:val="auto"/>
          <w:w w:val="100"/>
          <w:szCs w:val="21"/>
          <w:highlight w:val="none"/>
          <w:lang w:val="en-US" w:eastAsia="zh-CN"/>
        </w:rPr>
        <w:t xml:space="preserve">         本合同</w:t>
      </w:r>
      <w:r>
        <w:rPr>
          <w:rFonts w:hint="default" w:ascii="Times New Roman" w:hAnsi="Times New Roman" w:eastAsia="宋体" w:cs="Times New Roman"/>
          <w:color w:val="auto"/>
          <w:w w:val="100"/>
          <w:szCs w:val="21"/>
          <w:highlight w:val="none"/>
        </w:rPr>
        <w:t>是否</w:t>
      </w:r>
      <w:r>
        <w:rPr>
          <w:rFonts w:hint="default" w:ascii="Times New Roman" w:hAnsi="Times New Roman" w:eastAsia="宋体" w:cs="Times New Roman"/>
          <w:color w:val="auto"/>
          <w:w w:val="100"/>
          <w:szCs w:val="21"/>
          <w:highlight w:val="none"/>
          <w:lang w:eastAsia="zh-CN"/>
        </w:rPr>
        <w:t>为专门面向</w:t>
      </w:r>
      <w:r>
        <w:rPr>
          <w:rFonts w:hint="default" w:ascii="Times New Roman" w:hAnsi="Times New Roman" w:eastAsia="宋体" w:cs="Times New Roman"/>
          <w:color w:val="auto"/>
          <w:w w:val="100"/>
          <w:szCs w:val="21"/>
          <w:highlight w:val="none"/>
        </w:rPr>
        <w:t>中小企业</w:t>
      </w:r>
      <w:r>
        <w:rPr>
          <w:rFonts w:hint="default" w:ascii="Times New Roman" w:hAnsi="Times New Roman" w:eastAsia="宋体" w:cs="Times New Roman"/>
          <w:color w:val="auto"/>
          <w:w w:val="100"/>
          <w:szCs w:val="21"/>
          <w:highlight w:val="none"/>
          <w:lang w:eastAsia="zh-CN"/>
        </w:rPr>
        <w:t>的采</w:t>
      </w:r>
      <w:r>
        <w:rPr>
          <w:rFonts w:hint="default" w:ascii="Times New Roman" w:hAnsi="Times New Roman" w:eastAsia="宋体" w:cs="Times New Roman"/>
          <w:color w:val="auto"/>
          <w:w w:val="100"/>
          <w:szCs w:val="21"/>
          <w:highlight w:val="none"/>
          <w:shd w:val="clear" w:color="auto" w:fill="auto"/>
          <w:lang w:eastAsia="zh-CN"/>
        </w:rPr>
        <w:t>购</w:t>
      </w:r>
      <w:r>
        <w:rPr>
          <w:rFonts w:hint="default" w:ascii="Times New Roman" w:hAnsi="Times New Roman" w:eastAsia="宋体" w:cs="Times New Roman"/>
          <w:color w:val="auto"/>
          <w:w w:val="100"/>
          <w:szCs w:val="21"/>
          <w:highlight w:val="none"/>
          <w:shd w:val="clear" w:color="auto" w:fill="auto"/>
        </w:rPr>
        <w:t>合同</w:t>
      </w:r>
      <w:r>
        <w:rPr>
          <w:rFonts w:hint="default" w:ascii="Times New Roman" w:hAnsi="Times New Roman" w:eastAsia="宋体" w:cs="Times New Roman"/>
          <w:color w:val="auto"/>
          <w:w w:val="100"/>
          <w:szCs w:val="21"/>
          <w:highlight w:val="none"/>
          <w:shd w:val="clear" w:color="auto" w:fill="auto"/>
          <w:lang w:eastAsia="zh-CN"/>
        </w:rPr>
        <w:t>（中小企业预留合同）</w:t>
      </w:r>
      <w:r>
        <w:rPr>
          <w:rFonts w:hint="default" w:ascii="Times New Roman" w:hAnsi="Times New Roman" w:eastAsia="宋体" w:cs="Times New Roman"/>
          <w:color w:val="auto"/>
          <w:szCs w:val="21"/>
          <w:highlight w:val="none"/>
          <w:shd w:val="clear" w:color="auto" w:fill="auto"/>
        </w:rPr>
        <w:t>：</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是 </w:t>
      </w: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否</w:t>
      </w:r>
    </w:p>
    <w:p w14:paraId="1B29C9A0">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color w:val="auto"/>
          <w:szCs w:val="21"/>
          <w:highlight w:val="none"/>
        </w:rPr>
      </w:pPr>
      <w:r>
        <w:rPr>
          <w:rFonts w:hint="default" w:ascii="Times New Roman" w:hAnsi="Times New Roman" w:eastAsia="宋体" w:cs="Times New Roman"/>
          <w:color w:val="auto"/>
          <w:highlight w:val="none"/>
          <w:lang w:val="en-US" w:eastAsia="zh-CN"/>
        </w:rPr>
        <w:t xml:space="preserve">         若本项目不专门面向中小企业采购，是否给予小微企业评审优惠：</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是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否</w:t>
      </w:r>
    </w:p>
    <w:p w14:paraId="78FCC312">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iCs/>
          <w:color w:val="auto"/>
          <w:szCs w:val="21"/>
          <w:highlight w:val="none"/>
        </w:rPr>
      </w:pPr>
      <w:r>
        <w:rPr>
          <w:rFonts w:hint="default" w:ascii="Times New Roman" w:hAnsi="Times New Roman" w:eastAsia="宋体" w:cs="Times New Roman"/>
          <w:color w:val="auto"/>
          <w:highlight w:val="none"/>
          <w:lang w:val="en-US" w:eastAsia="zh-CN"/>
        </w:rPr>
        <w:t xml:space="preserve">         中标（成交）采购标的制造商是否为残疾人福利性单位：</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是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否</w:t>
      </w:r>
    </w:p>
    <w:p w14:paraId="365177AC">
      <w:pPr>
        <w:numPr>
          <w:ilvl w:val="0"/>
          <w:numId w:val="0"/>
        </w:numPr>
        <w:snapToGrid w:val="0"/>
        <w:spacing w:beforeLines="0" w:line="400" w:lineRule="exact"/>
        <w:ind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         中标（成交）采购标的制造商是否为监狱企业：</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是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否</w:t>
      </w:r>
    </w:p>
    <w:p w14:paraId="5B1600F7">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 w:eastAsia="zh-CN"/>
        </w:rPr>
        <w:t>7</w:t>
      </w:r>
      <w:r>
        <w:rPr>
          <w:rFonts w:hint="default" w:ascii="Times New Roman" w:hAnsi="Times New Roman" w:eastAsia="宋体" w:cs="Times New Roman"/>
          <w:color w:val="auto"/>
          <w:szCs w:val="21"/>
          <w:highlight w:val="none"/>
        </w:rPr>
        <w:t>）合同是否分包：</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是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否</w:t>
      </w:r>
    </w:p>
    <w:p w14:paraId="10EB922F">
      <w:pPr>
        <w:adjustRightInd w:val="0"/>
        <w:snapToGrid w:val="0"/>
        <w:spacing w:before="0" w:beforeLines="0" w:line="400" w:lineRule="exact"/>
        <w:ind w:firstLine="840" w:firstLineChars="4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分包主要内容：</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rPr>
        <w:t xml:space="preserve">   </w:t>
      </w:r>
    </w:p>
    <w:p w14:paraId="0DECE2C1">
      <w:pPr>
        <w:adjustRightInd w:val="0"/>
        <w:snapToGrid w:val="0"/>
        <w:spacing w:before="0" w:beforeLines="0" w:line="400" w:lineRule="exact"/>
        <w:ind w:firstLine="840" w:firstLineChars="4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u w:val="none"/>
          <w:lang w:val="en-US" w:eastAsia="zh-CN"/>
        </w:rPr>
        <w:t xml:space="preserve"> </w:t>
      </w:r>
      <w:r>
        <w:rPr>
          <w:rFonts w:hint="default" w:ascii="Times New Roman" w:hAnsi="Times New Roman" w:eastAsia="宋体" w:cs="Times New Roman"/>
          <w:color w:val="auto"/>
          <w:szCs w:val="21"/>
          <w:highlight w:val="none"/>
        </w:rPr>
        <w:t>分包供应商</w:t>
      </w:r>
      <w:r>
        <w:rPr>
          <w:rFonts w:hint="default" w:ascii="Times New Roman" w:hAnsi="Times New Roman" w:eastAsia="宋体" w:cs="Times New Roman"/>
          <w:color w:val="auto"/>
          <w:szCs w:val="21"/>
          <w:highlight w:val="none"/>
          <w:lang w:eastAsia="zh-CN"/>
        </w:rPr>
        <w:t>/制造商</w:t>
      </w:r>
      <w:r>
        <w:rPr>
          <w:rFonts w:hint="default" w:ascii="Times New Roman" w:hAnsi="Times New Roman" w:eastAsia="宋体" w:cs="Times New Roman"/>
          <w:color w:val="auto"/>
          <w:szCs w:val="21"/>
          <w:highlight w:val="none"/>
        </w:rPr>
        <w:t>名称</w:t>
      </w:r>
      <w:r>
        <w:rPr>
          <w:rFonts w:hint="default" w:ascii="Times New Roman" w:hAnsi="Times New Roman" w:eastAsia="宋体" w:cs="Times New Roman"/>
          <w:color w:val="auto"/>
          <w:szCs w:val="21"/>
          <w:highlight w:val="none"/>
          <w:lang w:eastAsia="zh-CN"/>
        </w:rPr>
        <w:t>（如供应商和制造商不同，请分别填写）</w:t>
      </w:r>
      <w:r>
        <w:rPr>
          <w:rFonts w:hint="default" w:ascii="Times New Roman" w:hAnsi="Times New Roman" w:eastAsia="宋体" w:cs="Times New Roman"/>
          <w:color w:val="auto"/>
          <w:szCs w:val="21"/>
          <w:highlight w:val="none"/>
        </w:rPr>
        <w:t>：</w:t>
      </w:r>
    </w:p>
    <w:p w14:paraId="3AE61D87">
      <w:pPr>
        <w:adjustRightInd w:val="0"/>
        <w:snapToGrid w:val="0"/>
        <w:spacing w:before="0" w:beforeLines="0" w:line="400" w:lineRule="exact"/>
        <w:ind w:firstLine="840" w:firstLineChars="4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u w:val="non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p>
    <w:p w14:paraId="0410F6FC">
      <w:pPr>
        <w:adjustRightInd w:val="0"/>
        <w:snapToGrid w:val="0"/>
        <w:spacing w:before="0" w:beforeLines="0" w:line="400" w:lineRule="exact"/>
        <w:ind w:firstLine="840" w:firstLineChars="4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分包供应商</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eastAsia="zh-CN"/>
        </w:rPr>
        <w:t>制造商</w:t>
      </w:r>
      <w:r>
        <w:rPr>
          <w:rFonts w:hint="default" w:ascii="Times New Roman" w:hAnsi="Times New Roman" w:eastAsia="宋体" w:cs="Times New Roman"/>
          <w:color w:val="auto"/>
          <w:szCs w:val="21"/>
          <w:highlight w:val="none"/>
        </w:rPr>
        <w:t>类型</w:t>
      </w:r>
      <w:r>
        <w:rPr>
          <w:rFonts w:hint="default" w:ascii="Times New Roman" w:hAnsi="Times New Roman" w:eastAsia="宋体" w:cs="Times New Roman"/>
          <w:color w:val="auto"/>
          <w:szCs w:val="21"/>
          <w:highlight w:val="none"/>
          <w:lang w:eastAsia="zh-CN"/>
        </w:rPr>
        <w:t>（如果供应商和制造商不同，只填写制造商类型）</w:t>
      </w:r>
      <w:r>
        <w:rPr>
          <w:rFonts w:hint="default" w:ascii="Times New Roman" w:hAnsi="Times New Roman" w:eastAsia="宋体" w:cs="Times New Roman"/>
          <w:color w:val="auto"/>
          <w:szCs w:val="21"/>
          <w:highlight w:val="none"/>
        </w:rPr>
        <w:t>：</w:t>
      </w:r>
    </w:p>
    <w:p w14:paraId="1B5695C6">
      <w:pPr>
        <w:adjustRightInd w:val="0"/>
        <w:snapToGrid w:val="0"/>
        <w:spacing w:beforeLines="0" w:line="400" w:lineRule="exact"/>
        <w:ind w:firstLine="840" w:firstLineChars="400"/>
        <w:rPr>
          <w:rFonts w:hint="default" w:ascii="Times New Roman" w:hAnsi="Times New Roman" w:eastAsia="宋体" w:cs="Times New Roman"/>
          <w:iCs/>
          <w:color w:val="auto"/>
          <w:szCs w:val="21"/>
          <w:highlight w:val="none"/>
          <w:lang w:val="en-US" w:eastAsia="zh-CN"/>
        </w:rPr>
      </w:pP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大型企业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中型企业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小微型企业</w:t>
      </w:r>
      <w:r>
        <w:rPr>
          <w:rFonts w:hint="default" w:ascii="Times New Roman" w:hAnsi="Times New Roman" w:eastAsia="宋体" w:cs="Times New Roman"/>
          <w:iCs/>
          <w:color w:val="auto"/>
          <w:szCs w:val="21"/>
          <w:highlight w:val="none"/>
          <w:lang w:val="en-US" w:eastAsia="zh-CN"/>
        </w:rPr>
        <w:t xml:space="preserve">  </w:t>
      </w:r>
    </w:p>
    <w:p w14:paraId="70D9405A">
      <w:pPr>
        <w:adjustRightInd w:val="0"/>
        <w:snapToGrid w:val="0"/>
        <w:spacing w:beforeLines="0" w:line="400" w:lineRule="exact"/>
        <w:ind w:firstLine="840" w:firstLineChars="400"/>
        <w:rPr>
          <w:rFonts w:hint="default" w:ascii="Times New Roman" w:hAnsi="Times New Roman" w:eastAsia="华文楷体" w:cs="Times New Roman"/>
          <w:color w:val="auto"/>
          <w:highlight w:val="none"/>
          <w:u w:val="none"/>
          <w:lang w:val="en-US" w:eastAsia="zh-CN"/>
        </w:rPr>
      </w:pP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残疾人福利性单位</w:t>
      </w: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监狱</w:t>
      </w:r>
      <w:r>
        <w:rPr>
          <w:rFonts w:hint="default" w:ascii="Times New Roman" w:hAnsi="Times New Roman" w:eastAsia="宋体" w:cs="Times New Roman"/>
          <w:iCs/>
          <w:color w:val="auto"/>
          <w:szCs w:val="21"/>
          <w:highlight w:val="none"/>
        </w:rPr>
        <w:t>企业</w:t>
      </w: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其他</w:t>
      </w:r>
    </w:p>
    <w:p w14:paraId="0674626A">
      <w:pPr>
        <w:numPr>
          <w:ilvl w:val="0"/>
          <w:numId w:val="0"/>
        </w:numPr>
        <w:adjustRightInd w:val="0"/>
        <w:snapToGrid w:val="0"/>
        <w:spacing w:before="0" w:beforeLines="0" w:line="400" w:lineRule="exact"/>
        <w:ind w:left="0" w:leftChars="0" w:firstLine="0" w:firstLineChars="0"/>
        <w:rPr>
          <w:rFonts w:hint="default" w:ascii="Times New Roman" w:hAnsi="Times New Roman" w:eastAsia="宋体" w:cs="Times New Roman"/>
          <w:iCs/>
          <w:color w:val="auto"/>
          <w:szCs w:val="21"/>
          <w:highlight w:val="none"/>
        </w:rPr>
      </w:pPr>
      <w:r>
        <w:rPr>
          <w:rFonts w:hint="default" w:ascii="Times New Roman" w:hAnsi="Times New Roman" w:eastAsia="宋体" w:cs="Times New Roman"/>
          <w:color w:val="auto"/>
          <w:szCs w:val="21"/>
          <w:highlight w:val="none"/>
          <w:u w:val="none"/>
          <w:lang w:val="en-US" w:eastAsia="zh-CN"/>
        </w:rPr>
        <w:t xml:space="preserve">    （</w:t>
      </w:r>
      <w:r>
        <w:rPr>
          <w:rFonts w:hint="default" w:ascii="Times New Roman" w:hAnsi="Times New Roman" w:eastAsia="宋体" w:cs="Times New Roman"/>
          <w:color w:val="auto"/>
          <w:szCs w:val="21"/>
          <w:highlight w:val="none"/>
          <w:u w:val="none"/>
          <w:lang w:val="en" w:eastAsia="zh-CN"/>
        </w:rPr>
        <w:t>8</w:t>
      </w:r>
      <w:r>
        <w:rPr>
          <w:rFonts w:hint="default" w:ascii="Times New Roman" w:hAnsi="Times New Roman" w:eastAsia="宋体" w:cs="Times New Roman"/>
          <w:color w:val="auto"/>
          <w:szCs w:val="21"/>
          <w:highlight w:val="none"/>
          <w:u w:val="none"/>
          <w:lang w:val="en-US" w:eastAsia="zh-CN"/>
        </w:rPr>
        <w:t>）中标（成交）供应商是否为外商投资企业：</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是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否</w:t>
      </w:r>
    </w:p>
    <w:p w14:paraId="3715408B">
      <w:pPr>
        <w:tabs>
          <w:tab w:val="left" w:pos="1340"/>
        </w:tabs>
        <w:autoSpaceDE w:val="0"/>
        <w:autoSpaceDN w:val="0"/>
        <w:adjustRightInd w:val="0"/>
        <w:spacing w:beforeLines="0" w:line="400" w:lineRule="exact"/>
        <w:ind w:firstLine="420" w:firstLineChars="200"/>
        <w:rPr>
          <w:rFonts w:hint="default" w:ascii="Times New Roman" w:hAnsi="Times New Roman" w:eastAsia="宋体" w:cs="Times New Roman"/>
          <w:color w:val="auto"/>
          <w:sz w:val="21"/>
          <w:szCs w:val="21"/>
          <w:highlight w:val="none"/>
          <w:u w:val="single"/>
          <w:lang w:val="en-US" w:eastAsia="zh-CN" w:bidi="ar-SA"/>
        </w:rPr>
      </w:pPr>
      <w:r>
        <w:rPr>
          <w:rFonts w:hint="default" w:ascii="Times New Roman" w:hAnsi="Times New Roman" w:eastAsia="宋体" w:cs="Times New Roman"/>
          <w:color w:val="auto"/>
          <w:sz w:val="21"/>
          <w:szCs w:val="21"/>
          <w:highlight w:val="none"/>
          <w:u w:val="none"/>
          <w:lang w:val="en-US" w:eastAsia="zh-CN" w:bidi="ar-SA"/>
        </w:rPr>
        <w:t xml:space="preserve">     外商投资企业类型：</w:t>
      </w:r>
      <w:r>
        <w:rPr>
          <w:rFonts w:hint="default" w:ascii="Times New Roman" w:hAnsi="Times New Roman" w:eastAsia="宋体" w:cs="Times New Roman"/>
          <w:iCs/>
          <w:color w:val="auto"/>
          <w:sz w:val="21"/>
          <w:szCs w:val="21"/>
          <w:highlight w:val="none"/>
          <w:lang w:val="en-US" w:eastAsia="zh-CN" w:bidi="ar-SA"/>
        </w:rPr>
        <w:sym w:font="Wingdings" w:char="00A8"/>
      </w:r>
      <w:r>
        <w:rPr>
          <w:rFonts w:hint="default" w:ascii="Times New Roman" w:hAnsi="Times New Roman" w:eastAsia="宋体" w:cs="Times New Roman"/>
          <w:color w:val="auto"/>
          <w:sz w:val="21"/>
          <w:szCs w:val="21"/>
          <w:highlight w:val="none"/>
          <w:u w:val="none"/>
          <w:lang w:val="en-US" w:eastAsia="zh-CN" w:bidi="ar-SA"/>
        </w:rPr>
        <w:t xml:space="preserve">全部由外国投资者投资  </w:t>
      </w:r>
      <w:r>
        <w:rPr>
          <w:rFonts w:hint="default" w:ascii="Times New Roman" w:hAnsi="Times New Roman" w:eastAsia="宋体" w:cs="Times New Roman"/>
          <w:iCs/>
          <w:color w:val="auto"/>
          <w:sz w:val="21"/>
          <w:szCs w:val="21"/>
          <w:highlight w:val="none"/>
          <w:lang w:val="en-US" w:eastAsia="zh-CN" w:bidi="ar-SA"/>
        </w:rPr>
        <w:sym w:font="Wingdings" w:char="00A8"/>
      </w:r>
      <w:r>
        <w:rPr>
          <w:rFonts w:hint="default" w:ascii="Times New Roman" w:hAnsi="Times New Roman" w:eastAsia="宋体" w:cs="Times New Roman"/>
          <w:iCs/>
          <w:color w:val="auto"/>
          <w:sz w:val="21"/>
          <w:szCs w:val="21"/>
          <w:highlight w:val="none"/>
          <w:lang w:val="en-US" w:eastAsia="zh-CN" w:bidi="ar-SA"/>
        </w:rPr>
        <w:t>部分由外国投资者投资</w:t>
      </w:r>
    </w:p>
    <w:p w14:paraId="0B4B7040">
      <w:pPr>
        <w:numPr>
          <w:ilvl w:val="0"/>
          <w:numId w:val="0"/>
        </w:numPr>
        <w:adjustRightInd w:val="0"/>
        <w:snapToGrid w:val="0"/>
        <w:spacing w:before="0" w:beforeLines="0" w:line="400" w:lineRule="exact"/>
        <w:ind w:firstLine="420" w:firstLineChars="200"/>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 w:eastAsia="zh-CN"/>
        </w:rPr>
        <w:t>9</w:t>
      </w:r>
      <w:r>
        <w:rPr>
          <w:rFonts w:hint="default" w:ascii="Times New Roman" w:hAnsi="Times New Roman" w:eastAsia="宋体" w:cs="Times New Roman"/>
          <w:b w:val="0"/>
          <w:bCs w:val="0"/>
          <w:color w:val="auto"/>
          <w:sz w:val="21"/>
          <w:szCs w:val="21"/>
          <w:highlight w:val="none"/>
          <w:u w:val="none"/>
          <w:lang w:val="en-US" w:eastAsia="zh-CN"/>
        </w:rPr>
        <w:t>）是否涉及进口产品：</w:t>
      </w:r>
    </w:p>
    <w:p w14:paraId="424BC7C8">
      <w:pPr>
        <w:numPr>
          <w:ilvl w:val="0"/>
          <w:numId w:val="0"/>
        </w:numPr>
        <w:adjustRightInd w:val="0"/>
        <w:snapToGrid w:val="0"/>
        <w:spacing w:before="0" w:beforeLines="0" w:line="400" w:lineRule="exact"/>
        <w:ind w:firstLine="840" w:firstLineChars="400"/>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iCs w:val="0"/>
          <w:color w:val="auto"/>
          <w:szCs w:val="21"/>
          <w:highlight w:val="none"/>
          <w:lang w:val="en-US" w:eastAsia="zh-CN"/>
        </w:rPr>
        <w:t xml:space="preserve"> </w:t>
      </w: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rPr>
        <w:t>是</w:t>
      </w:r>
      <w:r>
        <w:rPr>
          <w:rFonts w:hint="default" w:ascii="Times New Roman" w:hAnsi="Times New Roman" w:eastAsia="宋体" w:cs="Times New Roman"/>
          <w:iCs w:val="0"/>
          <w:color w:val="auto"/>
          <w:szCs w:val="21"/>
          <w:highlight w:val="none"/>
          <w:lang w:eastAsia="zh-CN"/>
        </w:rPr>
        <w:t>，《政府采购品目分类目录》底级品目名称</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lang w:val="en-US" w:eastAsia="zh-CN"/>
        </w:rPr>
        <w:t xml:space="preserve"> 金额：</w:t>
      </w:r>
      <w:r>
        <w:rPr>
          <w:rFonts w:hint="default" w:ascii="Times New Roman" w:hAnsi="Times New Roman" w:eastAsia="宋体" w:cs="Times New Roman"/>
          <w:color w:val="auto"/>
          <w:szCs w:val="21"/>
          <w:highlight w:val="none"/>
          <w:u w:val="single"/>
          <w:lang w:val="en-US" w:eastAsia="zh-CN"/>
        </w:rPr>
        <w:t xml:space="preserve">        </w:t>
      </w:r>
    </w:p>
    <w:p w14:paraId="2F20379C">
      <w:pPr>
        <w:numPr>
          <w:ilvl w:val="0"/>
          <w:numId w:val="0"/>
        </w:numPr>
        <w:adjustRightInd w:val="0"/>
        <w:snapToGrid w:val="0"/>
        <w:spacing w:before="0" w:beforeLines="0" w:line="400" w:lineRule="exact"/>
        <w:ind w:firstLine="840" w:firstLineChars="400"/>
        <w:rPr>
          <w:rFonts w:hint="default" w:ascii="Times New Roman" w:hAnsi="Times New Roman" w:eastAsia="宋体" w:cs="Times New Roman"/>
          <w:iCs w:val="0"/>
          <w:color w:val="auto"/>
          <w:szCs w:val="21"/>
          <w:highlight w:val="none"/>
        </w:rPr>
      </w:pPr>
      <w:r>
        <w:rPr>
          <w:rFonts w:hint="default" w:ascii="Times New Roman" w:hAnsi="Times New Roman" w:eastAsia="宋体" w:cs="Times New Roman"/>
          <w:color w:val="auto"/>
          <w:szCs w:val="21"/>
          <w:highlight w:val="none"/>
          <w:lang w:val="en-US" w:eastAsia="zh-CN"/>
        </w:rPr>
        <w:t xml:space="preserve">        国别：</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lang w:val="en-US" w:eastAsia="zh-CN"/>
        </w:rPr>
        <w:t xml:space="preserve"> 品牌：</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none"/>
          <w:lang w:val="en-US" w:eastAsia="zh-CN"/>
        </w:rPr>
        <w:t xml:space="preserve"> 规格型号：</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iCs w:val="0"/>
          <w:color w:val="auto"/>
          <w:szCs w:val="21"/>
          <w:highlight w:val="none"/>
        </w:rPr>
        <w:t xml:space="preserve">      </w:t>
      </w:r>
    </w:p>
    <w:p w14:paraId="262ACF00">
      <w:pPr>
        <w:adjustRightInd w:val="0"/>
        <w:snapToGrid w:val="0"/>
        <w:spacing w:before="0" w:beforeLines="0" w:line="400" w:lineRule="exact"/>
        <w:ind w:firstLine="840" w:firstLineChars="400"/>
        <w:rPr>
          <w:rFonts w:hint="default" w:ascii="Times New Roman" w:hAnsi="Times New Roman" w:eastAsia="宋体" w:cs="Times New Roman"/>
          <w:color w:val="auto"/>
          <w:szCs w:val="21"/>
          <w:highlight w:val="none"/>
          <w:u w:val="none"/>
          <w:lang w:val="en-US" w:eastAsia="zh-CN"/>
        </w:rPr>
      </w:pPr>
      <w:r>
        <w:rPr>
          <w:rFonts w:hint="default" w:ascii="Times New Roman" w:hAnsi="Times New Roman" w:eastAsia="宋体" w:cs="Times New Roman"/>
          <w:iCs w:val="0"/>
          <w:color w:val="auto"/>
          <w:szCs w:val="21"/>
          <w:highlight w:val="none"/>
          <w:lang w:val="en-US" w:eastAsia="zh-CN"/>
        </w:rPr>
        <w:t xml:space="preserve"> </w:t>
      </w: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lang w:eastAsia="zh-CN"/>
        </w:rPr>
        <w:t>否</w:t>
      </w:r>
    </w:p>
    <w:p w14:paraId="223C7B4B">
      <w:pPr>
        <w:numPr>
          <w:ilvl w:val="0"/>
          <w:numId w:val="0"/>
        </w:numPr>
        <w:tabs>
          <w:tab w:val="left" w:pos="740"/>
        </w:tabs>
        <w:adjustRightInd w:val="0"/>
        <w:snapToGrid w:val="0"/>
        <w:spacing w:before="0" w:beforeLines="0" w:line="400" w:lineRule="exact"/>
        <w:ind w:left="0" w:firstLine="0" w:firstLineChars="0"/>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 xml:space="preserve">    （1</w:t>
      </w:r>
      <w:r>
        <w:rPr>
          <w:rFonts w:hint="default" w:ascii="Times New Roman" w:hAnsi="Times New Roman" w:eastAsia="宋体" w:cs="Times New Roman"/>
          <w:b w:val="0"/>
          <w:bCs w:val="0"/>
          <w:color w:val="auto"/>
          <w:sz w:val="21"/>
          <w:szCs w:val="21"/>
          <w:highlight w:val="none"/>
          <w:u w:val="none"/>
          <w:lang w:val="en" w:eastAsia="zh-CN"/>
        </w:rPr>
        <w:t>0</w:t>
      </w:r>
      <w:r>
        <w:rPr>
          <w:rFonts w:hint="default" w:ascii="Times New Roman" w:hAnsi="Times New Roman" w:eastAsia="宋体" w:cs="Times New Roman"/>
          <w:b w:val="0"/>
          <w:bCs w:val="0"/>
          <w:color w:val="auto"/>
          <w:sz w:val="21"/>
          <w:szCs w:val="21"/>
          <w:highlight w:val="none"/>
          <w:u w:val="none"/>
          <w:lang w:val="en-US" w:eastAsia="zh-CN"/>
        </w:rPr>
        <w:t>）是否涉及节能产品：</w:t>
      </w:r>
    </w:p>
    <w:p w14:paraId="2CE6930C">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color w:val="auto"/>
          <w:szCs w:val="21"/>
          <w:highlight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rPr>
        <w:t>是</w:t>
      </w:r>
      <w:r>
        <w:rPr>
          <w:rFonts w:hint="default" w:ascii="Times New Roman" w:hAnsi="Times New Roman" w:eastAsia="宋体" w:cs="Times New Roman"/>
          <w:iCs w:val="0"/>
          <w:color w:val="auto"/>
          <w:szCs w:val="21"/>
          <w:highlight w:val="none"/>
          <w:lang w:eastAsia="zh-CN"/>
        </w:rPr>
        <w:t>，《节能产品政府采购品目清单》的底级品目名称：</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iCs/>
          <w:color w:val="auto"/>
          <w:szCs w:val="21"/>
          <w:highlight w:val="none"/>
          <w:lang w:val="en-US" w:eastAsia="zh-CN"/>
        </w:rPr>
        <w:t xml:space="preserve">     </w:t>
      </w:r>
    </w:p>
    <w:p w14:paraId="47AC46E8">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color w:val="auto"/>
          <w:szCs w:val="21"/>
          <w:highlight w:val="none"/>
          <w:lang w:val="en-US" w:eastAsia="zh-CN"/>
        </w:rPr>
      </w:pP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强制采购</w:t>
      </w: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优先采购</w:t>
      </w:r>
      <w:r>
        <w:rPr>
          <w:rFonts w:hint="default" w:ascii="Times New Roman" w:hAnsi="Times New Roman" w:eastAsia="宋体" w:cs="Times New Roman"/>
          <w:iCs/>
          <w:color w:val="auto"/>
          <w:szCs w:val="21"/>
          <w:highlight w:val="none"/>
          <w:lang w:val="en-US" w:eastAsia="zh-CN"/>
        </w:rPr>
        <w:t xml:space="preserve">    </w:t>
      </w:r>
    </w:p>
    <w:p w14:paraId="1537F96B">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val="0"/>
          <w:color w:val="auto"/>
          <w:szCs w:val="21"/>
          <w:highlight w:val="none"/>
        </w:rPr>
      </w:pP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rPr>
        <w:t>否</w:t>
      </w:r>
    </w:p>
    <w:p w14:paraId="4645B476">
      <w:pPr>
        <w:numPr>
          <w:ilvl w:val="0"/>
          <w:numId w:val="0"/>
        </w:numPr>
        <w:tabs>
          <w:tab w:val="left" w:pos="740"/>
        </w:tabs>
        <w:adjustRightInd w:val="0"/>
        <w:snapToGrid w:val="0"/>
        <w:spacing w:before="0" w:beforeLines="0" w:line="400" w:lineRule="exact"/>
        <w:ind w:left="0" w:firstLine="0" w:firstLineChars="0"/>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 xml:space="preserve">          是否涉及环境标志产品：</w:t>
      </w:r>
    </w:p>
    <w:p w14:paraId="0D26A373">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val="0"/>
          <w:color w:val="auto"/>
          <w:szCs w:val="21"/>
          <w:highlight w:val="none"/>
          <w:lang w:eastAsia="zh-CN"/>
        </w:rPr>
      </w:pPr>
      <w:r>
        <w:rPr>
          <w:rFonts w:hint="default" w:ascii="Times New Roman" w:hAnsi="Times New Roman" w:eastAsia="宋体" w:cs="Times New Roman"/>
          <w:b w:val="0"/>
          <w:bCs w:val="0"/>
          <w:color w:val="auto"/>
          <w:sz w:val="21"/>
          <w:szCs w:val="21"/>
          <w:highlight w:val="none"/>
          <w:u w:val="none"/>
          <w:lang w:val="en-US" w:eastAsia="zh-CN"/>
        </w:rPr>
        <w:t xml:space="preserve">         </w:t>
      </w: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rPr>
        <w:t>是</w:t>
      </w:r>
      <w:r>
        <w:rPr>
          <w:rFonts w:hint="default" w:ascii="Times New Roman" w:hAnsi="Times New Roman" w:eastAsia="宋体" w:cs="Times New Roman"/>
          <w:iCs w:val="0"/>
          <w:color w:val="auto"/>
          <w:szCs w:val="21"/>
          <w:highlight w:val="none"/>
          <w:lang w:eastAsia="zh-CN"/>
        </w:rPr>
        <w:t>，《环境标志产品政府采购品目清单》的底级品目名称：</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iCs/>
          <w:color w:val="auto"/>
          <w:szCs w:val="21"/>
          <w:highlight w:val="none"/>
          <w:lang w:val="en-US" w:eastAsia="zh-CN"/>
        </w:rPr>
        <w:t xml:space="preserve"> </w:t>
      </w:r>
    </w:p>
    <w:p w14:paraId="26299645">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color w:val="auto"/>
          <w:szCs w:val="21"/>
          <w:highlight w:val="none"/>
          <w:lang w:val="en-US" w:eastAsia="zh-CN"/>
        </w:rPr>
      </w:pP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强制采购</w:t>
      </w: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优先采购</w:t>
      </w:r>
      <w:r>
        <w:rPr>
          <w:rFonts w:hint="default" w:ascii="Times New Roman" w:hAnsi="Times New Roman" w:eastAsia="宋体" w:cs="Times New Roman"/>
          <w:iCs/>
          <w:color w:val="auto"/>
          <w:szCs w:val="21"/>
          <w:highlight w:val="none"/>
          <w:lang w:val="en-US" w:eastAsia="zh-CN"/>
        </w:rPr>
        <w:t xml:space="preserve">    </w:t>
      </w:r>
    </w:p>
    <w:p w14:paraId="7E0FC7B7">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rPr>
        <w:t>否</w:t>
      </w:r>
    </w:p>
    <w:p w14:paraId="7E54F982">
      <w:pPr>
        <w:numPr>
          <w:ilvl w:val="0"/>
          <w:numId w:val="0"/>
        </w:numPr>
        <w:autoSpaceDE w:val="0"/>
        <w:autoSpaceDN w:val="0"/>
        <w:adjustRightInd w:val="0"/>
        <w:snapToGrid w:val="0"/>
        <w:spacing w:before="0" w:beforeLines="0" w:line="400" w:lineRule="exact"/>
        <w:ind w:firstLine="0" w:firstLineChars="0"/>
        <w:rPr>
          <w:rFonts w:hint="default" w:ascii="Times New Roman" w:hAnsi="Times New Roman" w:eastAsia="宋体" w:cs="Times New Roman"/>
          <w:iCs w:val="0"/>
          <w:color w:val="auto"/>
          <w:kern w:val="2"/>
          <w:sz w:val="21"/>
          <w:szCs w:val="21"/>
          <w:highlight w:val="none"/>
          <w:u w:val="none"/>
          <w:lang w:val="en-US" w:eastAsia="zh-CN" w:bidi="ar-SA"/>
        </w:rPr>
      </w:pPr>
      <w:r>
        <w:rPr>
          <w:rFonts w:hint="default" w:ascii="Times New Roman" w:hAnsi="Times New Roman" w:eastAsia="华文楷体" w:cs="Times New Roman"/>
          <w:b w:val="0"/>
          <w:bCs w:val="0"/>
          <w:color w:val="auto"/>
          <w:sz w:val="21"/>
          <w:szCs w:val="21"/>
          <w:highlight w:val="none"/>
          <w:u w:val="none"/>
          <w:lang w:val="en-US" w:eastAsia="zh-CN" w:bidi="ar-SA"/>
        </w:rPr>
        <w:t xml:space="preserve">          </w:t>
      </w:r>
      <w:r>
        <w:rPr>
          <w:rFonts w:hint="default" w:ascii="Times New Roman" w:hAnsi="Times New Roman" w:eastAsia="宋体" w:cs="Times New Roman"/>
          <w:b w:val="0"/>
          <w:bCs w:val="0"/>
          <w:color w:val="auto"/>
          <w:kern w:val="2"/>
          <w:sz w:val="21"/>
          <w:szCs w:val="21"/>
          <w:highlight w:val="none"/>
          <w:u w:val="none"/>
          <w:lang w:val="en-US" w:eastAsia="zh-CN" w:bidi="ar-SA"/>
        </w:rPr>
        <w:t>是否涉及绿色产品：</w:t>
      </w:r>
      <w:r>
        <w:rPr>
          <w:rFonts w:hint="default" w:ascii="Times New Roman" w:hAnsi="Times New Roman" w:eastAsia="宋体" w:cs="Times New Roman"/>
          <w:iCs w:val="0"/>
          <w:color w:val="auto"/>
          <w:kern w:val="2"/>
          <w:sz w:val="21"/>
          <w:szCs w:val="21"/>
          <w:highlight w:val="none"/>
          <w:u w:val="none"/>
          <w:lang w:val="en-US" w:eastAsia="zh-CN" w:bidi="ar-SA"/>
        </w:rPr>
        <w:t xml:space="preserve"> </w:t>
      </w:r>
    </w:p>
    <w:p w14:paraId="02B3B058">
      <w:pPr>
        <w:autoSpaceDE w:val="0"/>
        <w:autoSpaceDN w:val="0"/>
        <w:adjustRightInd w:val="0"/>
        <w:spacing w:beforeLines="0" w:line="400" w:lineRule="exact"/>
        <w:ind w:firstLine="420" w:firstLineChars="0"/>
        <w:rPr>
          <w:rFonts w:hint="default" w:ascii="Times New Roman" w:hAnsi="Times New Roman" w:eastAsia="宋体" w:cs="Times New Roman"/>
          <w:color w:val="auto"/>
          <w:sz w:val="22"/>
          <w:szCs w:val="21"/>
          <w:highlight w:val="none"/>
          <w:u w:val="single"/>
          <w:lang w:val="en-US" w:eastAsia="zh-CN" w:bidi="ar-SA"/>
        </w:rPr>
      </w:pPr>
      <w:r>
        <w:rPr>
          <w:rFonts w:hint="default" w:ascii="Times New Roman" w:hAnsi="Times New Roman" w:eastAsia="宋体" w:cs="Times New Roman"/>
          <w:iCs w:val="0"/>
          <w:color w:val="auto"/>
          <w:kern w:val="2"/>
          <w:sz w:val="21"/>
          <w:szCs w:val="21"/>
          <w:highlight w:val="none"/>
          <w:u w:val="none"/>
          <w:lang w:val="en-US" w:eastAsia="zh-CN" w:bidi="ar-SA"/>
        </w:rPr>
        <w:t xml:space="preserve">     </w:t>
      </w:r>
      <w:r>
        <w:rPr>
          <w:rFonts w:hint="default" w:ascii="Times New Roman" w:hAnsi="Times New Roman" w:eastAsia="宋体" w:cs="Times New Roman"/>
          <w:iCs w:val="0"/>
          <w:color w:val="auto"/>
          <w:kern w:val="2"/>
          <w:sz w:val="21"/>
          <w:szCs w:val="21"/>
          <w:highlight w:val="none"/>
          <w:u w:val="none"/>
          <w:lang w:val="en-US" w:eastAsia="zh-CN" w:bidi="ar-SA"/>
        </w:rPr>
        <w:sym w:font="Wingdings" w:char="00A8"/>
      </w:r>
      <w:r>
        <w:rPr>
          <w:rFonts w:hint="default" w:ascii="Times New Roman" w:hAnsi="Times New Roman" w:eastAsia="宋体" w:cs="Times New Roman"/>
          <w:iCs w:val="0"/>
          <w:color w:val="auto"/>
          <w:kern w:val="2"/>
          <w:sz w:val="21"/>
          <w:szCs w:val="21"/>
          <w:highlight w:val="none"/>
          <w:u w:val="none"/>
          <w:lang w:val="en-US" w:eastAsia="zh-CN" w:bidi="ar-SA"/>
        </w:rPr>
        <w:t>是，绿色产品政府采购相关政策确定的底级品目名称：</w:t>
      </w:r>
      <w:r>
        <w:rPr>
          <w:rFonts w:hint="default" w:ascii="Times New Roman" w:hAnsi="Times New Roman" w:eastAsia="宋体" w:cs="Times New Roman"/>
          <w:color w:val="auto"/>
          <w:sz w:val="22"/>
          <w:szCs w:val="21"/>
          <w:highlight w:val="none"/>
          <w:u w:val="single"/>
          <w:lang w:val="en-US" w:eastAsia="zh-CN" w:bidi="ar-SA"/>
        </w:rPr>
        <w:t xml:space="preserve">         </w:t>
      </w:r>
    </w:p>
    <w:p w14:paraId="19B61AE0">
      <w:pPr>
        <w:numPr>
          <w:ilvl w:val="0"/>
          <w:numId w:val="0"/>
        </w:numPr>
        <w:tabs>
          <w:tab w:val="left" w:pos="740"/>
        </w:tabs>
        <w:adjustRightInd w:val="0"/>
        <w:snapToGrid w:val="0"/>
        <w:spacing w:before="0" w:beforeLines="0" w:line="400" w:lineRule="exact"/>
        <w:ind w:firstLine="0" w:firstLineChars="0"/>
        <w:rPr>
          <w:rFonts w:hint="default" w:ascii="Times New Roman" w:hAnsi="Times New Roman" w:eastAsia="宋体" w:cs="Times New Roman"/>
          <w:iCs/>
          <w:color w:val="auto"/>
          <w:szCs w:val="21"/>
          <w:highlight w:val="none"/>
          <w:lang w:val="en-US" w:eastAsia="zh-CN"/>
        </w:rPr>
      </w:pP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强制采购</w:t>
      </w: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优先采购</w:t>
      </w:r>
      <w:r>
        <w:rPr>
          <w:rFonts w:hint="default" w:ascii="Times New Roman" w:hAnsi="Times New Roman" w:eastAsia="宋体" w:cs="Times New Roman"/>
          <w:iCs/>
          <w:color w:val="auto"/>
          <w:szCs w:val="21"/>
          <w:highlight w:val="none"/>
          <w:lang w:val="en-US" w:eastAsia="zh-CN"/>
        </w:rPr>
        <w:t xml:space="preserve">    </w:t>
      </w:r>
    </w:p>
    <w:p w14:paraId="2E38268A">
      <w:pPr>
        <w:autoSpaceDE w:val="0"/>
        <w:autoSpaceDN w:val="0"/>
        <w:adjustRightInd w:val="0"/>
        <w:spacing w:beforeLines="0" w:line="400" w:lineRule="exact"/>
        <w:ind w:firstLine="420" w:firstLineChars="0"/>
        <w:rPr>
          <w:rFonts w:hint="default" w:ascii="Times New Roman" w:hAnsi="Times New Roman" w:eastAsia="华文楷体" w:cs="Times New Roman"/>
          <w:b w:val="0"/>
          <w:bCs w:val="0"/>
          <w:color w:val="auto"/>
          <w:sz w:val="21"/>
          <w:szCs w:val="21"/>
          <w:highlight w:val="none"/>
          <w:u w:val="none"/>
          <w:lang w:val="en-US" w:eastAsia="zh-CN" w:bidi="ar-SA"/>
        </w:rPr>
      </w:pPr>
      <w:r>
        <w:rPr>
          <w:rFonts w:hint="default" w:ascii="Times New Roman" w:hAnsi="Times New Roman" w:eastAsia="宋体" w:cs="Times New Roman"/>
          <w:iCs w:val="0"/>
          <w:color w:val="auto"/>
          <w:kern w:val="2"/>
          <w:sz w:val="21"/>
          <w:szCs w:val="21"/>
          <w:highlight w:val="none"/>
          <w:u w:val="none"/>
          <w:lang w:val="en-US" w:eastAsia="zh-CN" w:bidi="ar-SA"/>
        </w:rPr>
        <w:t xml:space="preserve">     </w:t>
      </w:r>
      <w:r>
        <w:rPr>
          <w:rFonts w:hint="default" w:ascii="Times New Roman" w:hAnsi="Times New Roman" w:eastAsia="宋体" w:cs="Times New Roman"/>
          <w:iCs w:val="0"/>
          <w:color w:val="auto"/>
          <w:kern w:val="2"/>
          <w:sz w:val="21"/>
          <w:szCs w:val="21"/>
          <w:highlight w:val="none"/>
          <w:u w:val="none"/>
          <w:lang w:val="en-US" w:eastAsia="zh-CN" w:bidi="ar-SA"/>
        </w:rPr>
        <w:sym w:font="Wingdings" w:char="00A8"/>
      </w:r>
      <w:r>
        <w:rPr>
          <w:rFonts w:hint="default" w:ascii="Times New Roman" w:hAnsi="Times New Roman" w:eastAsia="宋体" w:cs="Times New Roman"/>
          <w:iCs w:val="0"/>
          <w:color w:val="auto"/>
          <w:kern w:val="2"/>
          <w:sz w:val="21"/>
          <w:szCs w:val="21"/>
          <w:highlight w:val="none"/>
          <w:u w:val="none"/>
          <w:lang w:val="en-US" w:eastAsia="zh-CN" w:bidi="ar-SA"/>
        </w:rPr>
        <w:t>否</w:t>
      </w:r>
    </w:p>
    <w:p w14:paraId="5DEBC5B4">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    （1</w:t>
      </w:r>
      <w:r>
        <w:rPr>
          <w:rFonts w:hint="default" w:ascii="Times New Roman" w:hAnsi="Times New Roman" w:eastAsia="宋体" w:cs="Times New Roman"/>
          <w:color w:val="auto"/>
          <w:szCs w:val="21"/>
          <w:highlight w:val="none"/>
          <w:lang w:val="en" w:eastAsia="zh-CN"/>
        </w:rPr>
        <w:t>1</w:t>
      </w:r>
      <w:r>
        <w:rPr>
          <w:rFonts w:hint="default" w:ascii="Times New Roman" w:hAnsi="Times New Roman" w:eastAsia="宋体" w:cs="Times New Roman"/>
          <w:color w:val="auto"/>
          <w:szCs w:val="21"/>
          <w:highlight w:val="none"/>
          <w:lang w:val="en-US" w:eastAsia="zh-CN"/>
        </w:rPr>
        <w:t>）涉及商品包装和快递包装的，是否参考</w:t>
      </w:r>
      <w:r>
        <w:rPr>
          <w:rFonts w:hint="default" w:ascii="Times New Roman" w:hAnsi="Times New Roman" w:eastAsia="宋体" w:cs="Times New Roman"/>
          <w:color w:val="auto"/>
          <w:szCs w:val="21"/>
          <w:highlight w:val="none"/>
        </w:rPr>
        <w:t>《商品包装政府采购需求标准（试行）》、《快递包装政府采购需求标准（试行）》</w:t>
      </w:r>
      <w:r>
        <w:rPr>
          <w:rFonts w:hint="default" w:ascii="Times New Roman" w:hAnsi="Times New Roman" w:eastAsia="宋体" w:cs="Times New Roman"/>
          <w:color w:val="auto"/>
          <w:szCs w:val="21"/>
          <w:highlight w:val="none"/>
          <w:lang w:eastAsia="zh-CN"/>
        </w:rPr>
        <w:t>明确产品及相关快递服务的具体包装要求：</w:t>
      </w:r>
    </w:p>
    <w:p w14:paraId="4575D070">
      <w:pPr>
        <w:numPr>
          <w:ilvl w:val="0"/>
          <w:numId w:val="0"/>
        </w:numPr>
        <w:adjustRightInd w:val="0"/>
        <w:snapToGrid w:val="0"/>
        <w:spacing w:before="0" w:beforeLines="0" w:line="400" w:lineRule="exact"/>
        <w:ind w:firstLine="840" w:firstLineChars="400"/>
        <w:rPr>
          <w:rFonts w:hint="default" w:ascii="Times New Roman" w:hAnsi="Times New Roman" w:eastAsia="宋体" w:cs="Times New Roman"/>
          <w:iCs w:val="0"/>
          <w:color w:val="auto"/>
          <w:szCs w:val="21"/>
          <w:highlight w:val="none"/>
          <w:lang w:val="en-US" w:eastAsia="zh-CN"/>
        </w:rPr>
      </w:pP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rPr>
        <w:t xml:space="preserve">是       </w:t>
      </w: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rPr>
        <w:t>否</w:t>
      </w:r>
      <w:r>
        <w:rPr>
          <w:rFonts w:hint="default" w:ascii="Times New Roman" w:hAnsi="Times New Roman" w:eastAsia="宋体" w:cs="Times New Roman"/>
          <w:iCs w:val="0"/>
          <w:color w:val="auto"/>
          <w:szCs w:val="21"/>
          <w:highlight w:val="none"/>
          <w:lang w:val="en-US" w:eastAsia="zh-CN"/>
        </w:rPr>
        <w:t xml:space="preserve">      </w:t>
      </w:r>
      <w:r>
        <w:rPr>
          <w:rFonts w:hint="default" w:ascii="Times New Roman" w:hAnsi="Times New Roman" w:eastAsia="宋体" w:cs="Times New Roman"/>
          <w:iCs w:val="0"/>
          <w:color w:val="auto"/>
          <w:szCs w:val="21"/>
          <w:highlight w:val="none"/>
        </w:rPr>
        <w:sym w:font="Wingdings" w:char="00A8"/>
      </w:r>
      <w:r>
        <w:rPr>
          <w:rFonts w:hint="default" w:ascii="Times New Roman" w:hAnsi="Times New Roman" w:eastAsia="宋体" w:cs="Times New Roman"/>
          <w:iCs w:val="0"/>
          <w:color w:val="auto"/>
          <w:szCs w:val="21"/>
          <w:highlight w:val="none"/>
          <w:lang w:eastAsia="zh-CN"/>
        </w:rPr>
        <w:t>不涉及</w:t>
      </w:r>
    </w:p>
    <w:p w14:paraId="07B2C3C5">
      <w:pPr>
        <w:numPr>
          <w:ilvl w:val="0"/>
          <w:numId w:val="3"/>
        </w:numPr>
        <w:adjustRightInd w:val="0"/>
        <w:snapToGrid w:val="0"/>
        <w:spacing w:before="0" w:beforeLines="0" w:line="40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合同金额</w:t>
      </w:r>
    </w:p>
    <w:p w14:paraId="0BB81424">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（1）合同金额小写：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rPr>
        <w:t xml:space="preserve">      </w:t>
      </w:r>
    </w:p>
    <w:p w14:paraId="3759C75E">
      <w:pPr>
        <w:adjustRightInd w:val="0"/>
        <w:snapToGrid w:val="0"/>
        <w:spacing w:before="0" w:beforeLines="0" w:line="400" w:lineRule="exact"/>
        <w:ind w:left="0" w:firstLine="0" w:firstLineChars="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大写：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rPr>
        <w:t xml:space="preserve">      </w:t>
      </w:r>
    </w:p>
    <w:p w14:paraId="51109A43">
      <w:pPr>
        <w:adjustRightInd w:val="0"/>
        <w:snapToGrid w:val="0"/>
        <w:spacing w:before="0" w:beforeLines="0" w:line="400" w:lineRule="exact"/>
        <w:ind w:firstLine="0" w:firstLineChars="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分包金额</w:t>
      </w:r>
      <w:r>
        <w:rPr>
          <w:rFonts w:hint="default" w:ascii="Times New Roman" w:hAnsi="Times New Roman" w:eastAsia="宋体" w:cs="Times New Roman"/>
          <w:color w:val="auto"/>
          <w:szCs w:val="21"/>
          <w:highlight w:val="none"/>
          <w:lang w:eastAsia="zh-CN"/>
        </w:rPr>
        <w:t>（如有）</w:t>
      </w:r>
      <w:r>
        <w:rPr>
          <w:rFonts w:hint="default" w:ascii="Times New Roman" w:hAnsi="Times New Roman" w:eastAsia="宋体" w:cs="Times New Roman"/>
          <w:color w:val="auto"/>
          <w:szCs w:val="21"/>
          <w:highlight w:val="none"/>
        </w:rPr>
        <w:t>小写：</w:t>
      </w:r>
      <w:r>
        <w:rPr>
          <w:rFonts w:hint="default" w:ascii="Times New Roman" w:hAnsi="Times New Roman" w:eastAsia="宋体" w:cs="Times New Roman"/>
          <w:color w:val="auto"/>
          <w:szCs w:val="21"/>
          <w:highlight w:val="none"/>
          <w:u w:val="single"/>
        </w:rPr>
        <w:t xml:space="preserve">                   </w:t>
      </w:r>
    </w:p>
    <w:p w14:paraId="05AD7791">
      <w:pPr>
        <w:adjustRightInd w:val="0"/>
        <w:snapToGrid w:val="0"/>
        <w:spacing w:before="0" w:beforeLines="0" w:line="400" w:lineRule="exact"/>
        <w:ind w:firstLine="0" w:firstLineChars="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大写：</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single"/>
          <w:lang w:val="en-US" w:eastAsia="zh-CN"/>
        </w:rPr>
        <w:t xml:space="preserve"> </w:t>
      </w:r>
      <w:r>
        <w:rPr>
          <w:rFonts w:hint="default" w:ascii="Times New Roman" w:hAnsi="Times New Roman" w:eastAsia="宋体" w:cs="Times New Roman"/>
          <w:color w:val="auto"/>
          <w:szCs w:val="21"/>
          <w:highlight w:val="none"/>
          <w:u w:val="single"/>
        </w:rPr>
        <w:t xml:space="preserve">   </w:t>
      </w:r>
    </w:p>
    <w:p w14:paraId="3F97DEC8">
      <w:pPr>
        <w:adjustRightInd w:val="0"/>
        <w:snapToGrid w:val="0"/>
        <w:spacing w:before="0" w:beforeLines="0" w:line="400" w:lineRule="exact"/>
        <w:ind w:firstLine="0" w:firstLineChars="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    （注：固定单价合同应填写单价和最高限价）</w:t>
      </w:r>
    </w:p>
    <w:p w14:paraId="205AB2CD">
      <w:pPr>
        <w:numPr>
          <w:ilvl w:val="0"/>
          <w:numId w:val="0"/>
        </w:numPr>
        <w:adjustRightInd w:val="0"/>
        <w:snapToGrid w:val="0"/>
        <w:spacing w:before="0" w:beforeLines="0" w:line="400" w:lineRule="exact"/>
        <w:ind w:firstLine="0" w:firstLineChars="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合同定价方式</w:t>
      </w:r>
      <w:r>
        <w:rPr>
          <w:rFonts w:hint="default" w:ascii="Times New Roman" w:hAnsi="Times New Roman" w:eastAsia="宋体" w:cs="Times New Roman"/>
          <w:color w:val="auto"/>
          <w:szCs w:val="21"/>
          <w:highlight w:val="none"/>
          <w:lang w:eastAsia="zh-CN"/>
        </w:rPr>
        <w:t>（采用组合定价方式的，可以勾选多项）</w:t>
      </w:r>
      <w:r>
        <w:rPr>
          <w:rFonts w:hint="default" w:ascii="Times New Roman" w:hAnsi="Times New Roman" w:eastAsia="宋体" w:cs="Times New Roman"/>
          <w:color w:val="auto"/>
          <w:szCs w:val="21"/>
          <w:highlight w:val="none"/>
        </w:rPr>
        <w:t>：</w:t>
      </w:r>
    </w:p>
    <w:p w14:paraId="223123AE">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固定总价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固定单价</w:t>
      </w: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固定费率</w:t>
      </w:r>
      <w:r>
        <w:rPr>
          <w:rFonts w:hint="default" w:ascii="Times New Roman" w:hAnsi="Times New Roman" w:eastAsia="宋体" w:cs="Times New Roman"/>
          <w:iCs/>
          <w:color w:val="auto"/>
          <w:szCs w:val="21"/>
          <w:highlight w:val="none"/>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 xml:space="preserve">成本补偿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rPr>
        <w:t>绩效激励</w:t>
      </w:r>
      <w:r>
        <w:rPr>
          <w:rFonts w:hint="default" w:ascii="Times New Roman" w:hAnsi="Times New Roman" w:eastAsia="宋体" w:cs="Times New Roman"/>
          <w:iCs/>
          <w:color w:val="auto"/>
          <w:szCs w:val="21"/>
          <w:highlight w:val="none"/>
          <w:lang w:val="en-US" w:eastAsia="zh-CN"/>
        </w:rPr>
        <w:t xml:space="preserve"> </w:t>
      </w:r>
      <w:r>
        <w:rPr>
          <w:rFonts w:hint="default" w:ascii="Times New Roman" w:hAnsi="Times New Roman" w:eastAsia="宋体" w:cs="Times New Roman"/>
          <w:iCs/>
          <w:color w:val="auto"/>
          <w:szCs w:val="21"/>
          <w:highlight w:val="none"/>
        </w:rPr>
        <w:sym w:font="Wingdings" w:char="00A8"/>
      </w:r>
      <w:r>
        <w:rPr>
          <w:rFonts w:hint="default" w:ascii="Times New Roman" w:hAnsi="Times New Roman" w:eastAsia="宋体" w:cs="Times New Roman"/>
          <w:iCs/>
          <w:color w:val="auto"/>
          <w:szCs w:val="21"/>
          <w:highlight w:val="none"/>
          <w:lang w:eastAsia="zh-CN"/>
        </w:rPr>
        <w:t>其他</w:t>
      </w:r>
      <w:r>
        <w:rPr>
          <w:rFonts w:hint="default" w:ascii="Times New Roman" w:hAnsi="Times New Roman" w:eastAsia="宋体" w:cs="Times New Roman"/>
          <w:color w:val="auto"/>
          <w:szCs w:val="21"/>
          <w:highlight w:val="none"/>
          <w:u w:val="single"/>
        </w:rPr>
        <w:t xml:space="preserve">       </w:t>
      </w:r>
    </w:p>
    <w:p w14:paraId="14F25A27">
      <w:pPr>
        <w:widowControl w:val="0"/>
        <w:spacing w:beforeLines="0" w:line="400" w:lineRule="exact"/>
        <w:ind w:firstLine="420" w:firstLineChars="200"/>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（3）付款方式（按项目实际勾选填写）：</w:t>
      </w:r>
    </w:p>
    <w:p w14:paraId="0F9E57A9">
      <w:pPr>
        <w:adjustRightInd w:val="0"/>
        <w:snapToGrid w:val="0"/>
        <w:spacing w:before="0" w:beforeLines="0" w:line="400" w:lineRule="exact"/>
        <w:ind w:firstLine="630" w:firstLineChars="3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sym w:font="Wingdings" w:char="00FE"/>
      </w:r>
      <w:r>
        <w:rPr>
          <w:rFonts w:hint="default" w:ascii="Times New Roman" w:hAnsi="Times New Roman" w:eastAsia="宋体" w:cs="Times New Roman"/>
          <w:color w:val="auto"/>
          <w:szCs w:val="21"/>
          <w:highlight w:val="none"/>
        </w:rPr>
        <w:t>全额付款：</w:t>
      </w:r>
      <w:r>
        <w:rPr>
          <w:rFonts w:hint="default" w:ascii="Times New Roman" w:hAnsi="Times New Roman" w:eastAsia="宋体" w:cs="Times New Roman"/>
          <w:color w:val="auto"/>
          <w:szCs w:val="21"/>
          <w:highlight w:val="none"/>
          <w:u w:val="single"/>
        </w:rPr>
        <w:t xml:space="preserve"> 付款时间及条件：</w:t>
      </w:r>
      <w:r>
        <w:rPr>
          <w:rFonts w:hint="default" w:ascii="Times New Roman" w:hAnsi="Times New Roman" w:eastAsia="宋体" w:cs="Times New Roman"/>
          <w:color w:val="auto"/>
          <w:szCs w:val="21"/>
          <w:highlight w:val="none"/>
          <w:u w:val="single"/>
          <w:lang w:val="en-US" w:eastAsia="zh-CN"/>
        </w:rPr>
        <w:t>经验收合格后收到发票之起10个日历天内一次性向乙方支付。</w:t>
      </w:r>
    </w:p>
    <w:p w14:paraId="4E4F9332">
      <w:pPr>
        <w:snapToGrid w:val="0"/>
        <w:spacing w:beforeLines="0" w:line="400" w:lineRule="exact"/>
        <w:ind w:firstLine="630" w:firstLineChars="3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sym w:font="Wingdings" w:char="00A8"/>
      </w:r>
      <w:r>
        <w:rPr>
          <w:rFonts w:hint="default" w:ascii="Times New Roman" w:hAnsi="Times New Roman" w:eastAsia="宋体" w:cs="Times New Roman"/>
          <w:color w:val="auto"/>
          <w:szCs w:val="21"/>
          <w:highlight w:val="none"/>
        </w:rPr>
        <w:t>分期付款：</w:t>
      </w:r>
      <w:r>
        <w:rPr>
          <w:rFonts w:hint="default" w:ascii="Times New Roman" w:hAnsi="Times New Roman" w:eastAsia="宋体" w:cs="Times New Roman"/>
          <w:color w:val="auto"/>
          <w:szCs w:val="21"/>
          <w:highlight w:val="none"/>
          <w:u w:val="single"/>
        </w:rPr>
        <w:t xml:space="preserve">  （应明确分期支付合同款项的各期比例和支付条件</w:t>
      </w:r>
      <w:r>
        <w:rPr>
          <w:rFonts w:hint="default" w:ascii="Times New Roman" w:hAnsi="Times New Roman" w:eastAsia="宋体" w:cs="Times New Roman"/>
          <w:color w:val="auto"/>
          <w:szCs w:val="21"/>
          <w:highlight w:val="none"/>
          <w:u w:val="single"/>
          <w:lang w:eastAsia="zh-CN"/>
        </w:rPr>
        <w:t>，各期支付条件应与分期履约验收情况挂钩</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u w:val="none"/>
          <w:lang w:eastAsia="zh-CN"/>
        </w:rPr>
        <w:t>，</w:t>
      </w:r>
      <w:r>
        <w:rPr>
          <w:rFonts w:hint="default" w:ascii="Times New Roman" w:hAnsi="Times New Roman" w:eastAsia="宋体" w:cs="Times New Roman"/>
          <w:color w:val="auto"/>
          <w:szCs w:val="21"/>
          <w:highlight w:val="none"/>
          <w:lang w:eastAsia="zh-CN"/>
        </w:rPr>
        <w:t>其中涉及预付款的</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u w:val="single"/>
        </w:rPr>
        <w:t xml:space="preserve"> （应明确预付款的支付比例和支付条件） </w:t>
      </w:r>
    </w:p>
    <w:p w14:paraId="51DB7816">
      <w:pPr>
        <w:adjustRightInd w:val="0"/>
        <w:snapToGrid w:val="0"/>
        <w:spacing w:before="0" w:beforeLines="0" w:line="400" w:lineRule="exact"/>
        <w:ind w:firstLine="630" w:firstLineChars="3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sym w:font="Wingdings" w:char="00A8"/>
      </w:r>
      <w:r>
        <w:rPr>
          <w:rFonts w:hint="default" w:ascii="Times New Roman" w:hAnsi="Times New Roman" w:eastAsia="宋体" w:cs="Times New Roman"/>
          <w:color w:val="auto"/>
          <w:szCs w:val="21"/>
          <w:highlight w:val="none"/>
        </w:rPr>
        <w:t>成本补偿：</w:t>
      </w:r>
      <w:r>
        <w:rPr>
          <w:rFonts w:hint="default" w:ascii="Times New Roman" w:hAnsi="Times New Roman" w:eastAsia="宋体" w:cs="Times New Roman"/>
          <w:color w:val="auto"/>
          <w:szCs w:val="21"/>
          <w:highlight w:val="none"/>
          <w:u w:val="single"/>
        </w:rPr>
        <w:t xml:space="preserve">      （应明确按照成本补偿方式的支付方式和支付条件）   </w:t>
      </w:r>
    </w:p>
    <w:p w14:paraId="15B44071">
      <w:pPr>
        <w:adjustRightInd w:val="0"/>
        <w:snapToGrid w:val="0"/>
        <w:spacing w:before="0" w:beforeLines="0" w:line="400" w:lineRule="exact"/>
        <w:ind w:firstLine="630" w:firstLineChars="3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sym w:font="Wingdings" w:char="00A8"/>
      </w:r>
      <w:r>
        <w:rPr>
          <w:rFonts w:hint="default" w:ascii="Times New Roman" w:hAnsi="Times New Roman" w:eastAsia="宋体" w:cs="Times New Roman"/>
          <w:color w:val="auto"/>
          <w:szCs w:val="21"/>
          <w:highlight w:val="none"/>
        </w:rPr>
        <w:t>绩效激励：</w:t>
      </w:r>
      <w:r>
        <w:rPr>
          <w:rFonts w:hint="default" w:ascii="Times New Roman" w:hAnsi="Times New Roman" w:eastAsia="宋体" w:cs="Times New Roman"/>
          <w:color w:val="auto"/>
          <w:szCs w:val="21"/>
          <w:highlight w:val="none"/>
          <w:u w:val="single"/>
        </w:rPr>
        <w:t xml:space="preserve">      （应明确按照绩效激励方式的支付方式和支付条件）   </w:t>
      </w:r>
    </w:p>
    <w:p w14:paraId="164F5E0D">
      <w:pPr>
        <w:numPr>
          <w:ilvl w:val="0"/>
          <w:numId w:val="3"/>
        </w:numPr>
        <w:adjustRightInd w:val="0"/>
        <w:snapToGrid w:val="0"/>
        <w:spacing w:before="0" w:beforeLines="0" w:line="400" w:lineRule="exact"/>
        <w:ind w:firstLine="422" w:firstLineChars="200"/>
        <w:rPr>
          <w:rFonts w:hint="default" w:ascii="Times New Roman" w:hAnsi="Times New Roman" w:eastAsia="宋体" w:cs="Times New Roman"/>
          <w:b/>
          <w:bCs w:val="0"/>
          <w:color w:val="auto"/>
          <w:szCs w:val="21"/>
          <w:highlight w:val="none"/>
          <w:u w:val="single"/>
        </w:rPr>
      </w:pPr>
      <w:r>
        <w:rPr>
          <w:rFonts w:hint="default" w:ascii="Times New Roman" w:hAnsi="Times New Roman" w:eastAsia="宋体" w:cs="Times New Roman"/>
          <w:b/>
          <w:bCs w:val="0"/>
          <w:color w:val="auto"/>
          <w:szCs w:val="21"/>
          <w:highlight w:val="none"/>
        </w:rPr>
        <w:t>合同履行</w:t>
      </w:r>
    </w:p>
    <w:p w14:paraId="61075B28">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（1）起始日期：</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日，完成日期：</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w:t>
      </w:r>
    </w:p>
    <w:p w14:paraId="5E16837A">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eastAsia="zh-CN"/>
        </w:rPr>
        <w:t>履约</w:t>
      </w:r>
      <w:r>
        <w:rPr>
          <w:rFonts w:hint="default" w:ascii="Times New Roman" w:hAnsi="Times New Roman" w:eastAsia="宋体" w:cs="Times New Roman"/>
          <w:color w:val="auto"/>
          <w:szCs w:val="21"/>
          <w:highlight w:val="none"/>
        </w:rPr>
        <w:t>地点</w:t>
      </w:r>
      <w:r>
        <w:rPr>
          <w:rFonts w:hint="default" w:ascii="Times New Roman" w:hAnsi="Times New Roman" w:eastAsia="宋体" w:cs="Times New Roman"/>
          <w:b w:val="0"/>
          <w:bCs/>
          <w:color w:val="auto"/>
          <w:szCs w:val="21"/>
          <w:highlight w:val="none"/>
        </w:rPr>
        <w:t>：</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cs="Times New Roman"/>
          <w:color w:val="auto"/>
          <w:szCs w:val="21"/>
          <w:highlight w:val="none"/>
          <w:u w:val="single"/>
          <w:lang w:val="en-US" w:eastAsia="zh-CN"/>
        </w:rPr>
        <w:t>大理州第二人民医院指定地点</w:t>
      </w:r>
      <w:r>
        <w:rPr>
          <w:rFonts w:hint="default" w:ascii="Times New Roman" w:hAnsi="Times New Roman" w:eastAsia="宋体" w:cs="Times New Roman"/>
          <w:color w:val="auto"/>
          <w:szCs w:val="21"/>
          <w:highlight w:val="none"/>
          <w:u w:val="single"/>
        </w:rPr>
        <w:t xml:space="preserve"> </w:t>
      </w:r>
    </w:p>
    <w:p w14:paraId="02BE0A39">
      <w:pPr>
        <w:adjustRightInd w:val="0"/>
        <w:snapToGrid w:val="0"/>
        <w:spacing w:before="0" w:beforeLines="0" w:line="400" w:lineRule="exact"/>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Cs/>
          <w:color w:val="auto"/>
          <w:szCs w:val="21"/>
          <w:highlight w:val="none"/>
        </w:rPr>
        <w:t>（3）履约担保：</w:t>
      </w:r>
      <w:r>
        <w:rPr>
          <w:rFonts w:hint="default" w:ascii="Times New Roman" w:hAnsi="Times New Roman" w:eastAsia="宋体" w:cs="Times New Roman"/>
          <w:color w:val="auto"/>
          <w:sz w:val="21"/>
          <w:highlight w:val="none"/>
          <w:lang w:val="en-US" w:eastAsia="zh-CN"/>
        </w:rPr>
        <w:t>是否收取履约保证金：</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color w:val="auto"/>
          <w:sz w:val="21"/>
          <w:szCs w:val="21"/>
          <w:highlight w:val="none"/>
          <w:lang w:eastAsia="zh-CN"/>
        </w:rPr>
        <w:t>是</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sym w:font="Wingdings" w:char="00FE"/>
      </w:r>
      <w:r>
        <w:rPr>
          <w:rFonts w:hint="default" w:ascii="Times New Roman" w:hAnsi="Times New Roman" w:eastAsia="宋体" w:cs="Times New Roman"/>
          <w:color w:val="auto"/>
          <w:sz w:val="21"/>
          <w:szCs w:val="21"/>
          <w:highlight w:val="none"/>
          <w:lang w:eastAsia="zh-CN"/>
        </w:rPr>
        <w:t>否</w:t>
      </w:r>
    </w:p>
    <w:p w14:paraId="3D8D69DE">
      <w:pPr>
        <w:autoSpaceDE w:val="0"/>
        <w:autoSpaceDN w:val="0"/>
        <w:adjustRightInd w:val="0"/>
        <w:spacing w:beforeLines="0" w:line="400" w:lineRule="exact"/>
        <w:ind w:firstLine="440" w:firstLineChars="20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华文楷体" w:cs="Times New Roman"/>
          <w:bCs/>
          <w:color w:val="auto"/>
          <w:sz w:val="22"/>
          <w:szCs w:val="21"/>
          <w:highlight w:val="none"/>
          <w:u w:val="none"/>
          <w:lang w:val="en-US" w:eastAsia="zh-CN" w:bidi="ar-SA"/>
        </w:rPr>
        <w:t xml:space="preserve">  </w:t>
      </w:r>
      <w:r>
        <w:rPr>
          <w:rFonts w:hint="default" w:ascii="Times New Roman" w:hAnsi="Times New Roman" w:eastAsia="宋体" w:cs="Times New Roman"/>
          <w:color w:val="auto"/>
          <w:sz w:val="21"/>
          <w:szCs w:val="21"/>
          <w:highlight w:val="none"/>
          <w:lang w:val="en-US" w:eastAsia="zh-CN" w:bidi="ar-SA"/>
        </w:rPr>
        <w:t xml:space="preserve">  收取履约保证金形式：</w:t>
      </w:r>
      <w:r>
        <w:rPr>
          <w:rFonts w:hint="default" w:ascii="Times New Roman" w:hAnsi="Times New Roman" w:eastAsia="宋体" w:cs="Times New Roman"/>
          <w:bCs/>
          <w:color w:val="auto"/>
          <w:sz w:val="21"/>
          <w:szCs w:val="21"/>
          <w:highlight w:val="none"/>
          <w:u w:val="single"/>
          <w:lang w:val="en-US" w:eastAsia="zh-CN" w:bidi="ar-SA"/>
        </w:rPr>
        <w:t xml:space="preserve">  </w:t>
      </w:r>
      <w:r>
        <w:rPr>
          <w:rFonts w:hint="default" w:ascii="Times New Roman" w:hAnsi="Times New Roman" w:cs="Times New Roman"/>
          <w:bCs/>
          <w:color w:val="auto"/>
          <w:sz w:val="21"/>
          <w:szCs w:val="21"/>
          <w:highlight w:val="none"/>
          <w:u w:val="single"/>
          <w:lang w:val="en-US" w:eastAsia="zh-CN" w:bidi="ar-SA"/>
        </w:rPr>
        <w:t>/</w:t>
      </w:r>
      <w:r>
        <w:rPr>
          <w:rFonts w:hint="default" w:ascii="Times New Roman" w:hAnsi="Times New Roman" w:eastAsia="宋体" w:cs="Times New Roman"/>
          <w:bCs/>
          <w:color w:val="auto"/>
          <w:sz w:val="21"/>
          <w:szCs w:val="21"/>
          <w:highlight w:val="none"/>
          <w:u w:val="single"/>
          <w:lang w:val="en-US" w:eastAsia="zh-CN" w:bidi="ar-SA"/>
        </w:rPr>
        <w:t xml:space="preserve">  </w:t>
      </w:r>
    </w:p>
    <w:p w14:paraId="290D1ABD">
      <w:pPr>
        <w:autoSpaceDE w:val="0"/>
        <w:autoSpaceDN w:val="0"/>
        <w:adjustRightInd w:val="0"/>
        <w:spacing w:beforeLines="0" w:line="40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    收取履约保证金金额：</w:t>
      </w:r>
      <w:r>
        <w:rPr>
          <w:rFonts w:hint="default" w:ascii="Times New Roman" w:hAnsi="Times New Roman" w:eastAsia="宋体" w:cs="Times New Roman"/>
          <w:bCs/>
          <w:color w:val="auto"/>
          <w:sz w:val="21"/>
          <w:szCs w:val="21"/>
          <w:highlight w:val="none"/>
          <w:u w:val="single"/>
          <w:lang w:val="en-US" w:eastAsia="zh-CN" w:bidi="ar-SA"/>
        </w:rPr>
        <w:t xml:space="preserve">  </w:t>
      </w:r>
      <w:r>
        <w:rPr>
          <w:rFonts w:hint="default" w:ascii="Times New Roman" w:hAnsi="Times New Roman" w:cs="Times New Roman"/>
          <w:bCs/>
          <w:color w:val="auto"/>
          <w:sz w:val="21"/>
          <w:szCs w:val="21"/>
          <w:highlight w:val="none"/>
          <w:u w:val="single"/>
          <w:lang w:val="en-US" w:eastAsia="zh-CN" w:bidi="ar-SA"/>
        </w:rPr>
        <w:t>/</w:t>
      </w:r>
      <w:r>
        <w:rPr>
          <w:rFonts w:hint="default" w:ascii="Times New Roman" w:hAnsi="Times New Roman" w:eastAsia="宋体" w:cs="Times New Roman"/>
          <w:bCs/>
          <w:color w:val="auto"/>
          <w:sz w:val="21"/>
          <w:szCs w:val="21"/>
          <w:highlight w:val="none"/>
          <w:u w:val="single"/>
          <w:lang w:val="en-US" w:eastAsia="zh-CN" w:bidi="ar-SA"/>
        </w:rPr>
        <w:t xml:space="preserve">   </w:t>
      </w:r>
    </w:p>
    <w:p w14:paraId="3D24A3F5">
      <w:pPr>
        <w:snapToGrid w:val="0"/>
        <w:spacing w:beforeLines="0" w:line="400" w:lineRule="exact"/>
        <w:ind w:firstLine="420" w:firstLineChars="200"/>
        <w:rPr>
          <w:rFonts w:hint="default" w:ascii="Times New Roman" w:hAnsi="Times New Roman" w:eastAsia="宋体" w:cs="Times New Roman"/>
          <w:bCs/>
          <w:color w:val="auto"/>
          <w:sz w:val="21"/>
          <w:szCs w:val="21"/>
          <w:highlight w:val="none"/>
          <w:u w:val="single"/>
          <w:lang w:val="en-US" w:eastAsia="zh-CN"/>
        </w:rPr>
      </w:pPr>
      <w:r>
        <w:rPr>
          <w:rFonts w:hint="default" w:ascii="Times New Roman" w:hAnsi="Times New Roman" w:eastAsia="宋体" w:cs="Times New Roman"/>
          <w:bCs/>
          <w:color w:val="auto"/>
          <w:szCs w:val="21"/>
          <w:highlight w:val="none"/>
          <w:u w:val="none"/>
          <w:lang w:val="en-US" w:eastAsia="zh-CN"/>
        </w:rPr>
        <w:t xml:space="preserve">    履约担保期限</w:t>
      </w:r>
      <w:r>
        <w:rPr>
          <w:rFonts w:hint="default" w:ascii="Times New Roman" w:hAnsi="Times New Roman" w:eastAsia="宋体" w:cs="Times New Roman"/>
          <w:bCs/>
          <w:color w:val="auto"/>
          <w:szCs w:val="21"/>
          <w:highlight w:val="none"/>
          <w:u w:val="none"/>
          <w:lang w:eastAsia="zh-CN"/>
        </w:rPr>
        <w:t>：</w:t>
      </w:r>
      <w:r>
        <w:rPr>
          <w:rFonts w:hint="default" w:ascii="Times New Roman" w:hAnsi="Times New Roman" w:eastAsia="宋体" w:cs="Times New Roman"/>
          <w:bCs/>
          <w:color w:val="auto"/>
          <w:sz w:val="21"/>
          <w:szCs w:val="21"/>
          <w:highlight w:val="none"/>
          <w:u w:val="single"/>
        </w:rPr>
        <w:t xml:space="preserve"> </w:t>
      </w:r>
      <w:r>
        <w:rPr>
          <w:rFonts w:hint="default" w:ascii="Times New Roman" w:hAnsi="Times New Roman" w:cs="Times New Roman"/>
          <w:bCs/>
          <w:color w:val="auto"/>
          <w:sz w:val="21"/>
          <w:szCs w:val="21"/>
          <w:highlight w:val="none"/>
          <w:u w:val="single"/>
          <w:lang w:val="en-US" w:eastAsia="zh-CN"/>
        </w:rPr>
        <w:t xml:space="preserve">/    </w:t>
      </w:r>
    </w:p>
    <w:p w14:paraId="6A269DC3">
      <w:pPr>
        <w:snapToGrid w:val="0"/>
        <w:spacing w:beforeLines="0" w:line="400" w:lineRule="exact"/>
        <w:ind w:firstLine="840" w:firstLineChars="400"/>
        <w:rPr>
          <w:rFonts w:hint="default" w:ascii="Times New Roman" w:hAnsi="Times New Roman" w:eastAsia="宋体" w:cs="Times New Roman"/>
          <w:color w:val="auto"/>
          <w:sz w:val="21"/>
          <w:highlight w:val="none"/>
          <w:lang w:val="en-US" w:eastAsia="zh-CN"/>
        </w:rPr>
      </w:pPr>
      <w:r>
        <w:rPr>
          <w:rFonts w:hint="default" w:ascii="Times New Roman" w:hAnsi="Times New Roman" w:eastAsia="宋体" w:cs="Times New Roman"/>
          <w:bCs/>
          <w:color w:val="auto"/>
          <w:szCs w:val="21"/>
          <w:highlight w:val="none"/>
          <w:lang w:val="en-US" w:eastAsia="zh-CN"/>
        </w:rPr>
        <w:t>政府采购电子保函：中标（成交）供应商若有开具电子保函（保险）意愿，请登录依托“政府采购全流程电子交易平台”建设的“金融服务平台”线上申请开具电子保函（保险）。</w:t>
      </w:r>
      <w:r>
        <w:rPr>
          <w:rFonts w:hint="default" w:ascii="Times New Roman" w:hAnsi="Times New Roman" w:eastAsia="宋体" w:cs="Times New Roman"/>
          <w:bCs/>
          <w:color w:val="auto"/>
          <w:sz w:val="21"/>
          <w:szCs w:val="21"/>
          <w:highlight w:val="none"/>
          <w:u w:val="single"/>
        </w:rPr>
        <w:t xml:space="preserve">     </w:t>
      </w:r>
      <w:r>
        <w:rPr>
          <w:rFonts w:hint="default" w:ascii="Times New Roman" w:hAnsi="Times New Roman" w:eastAsia="宋体" w:cs="Times New Roman"/>
          <w:bCs/>
          <w:color w:val="auto"/>
          <w:sz w:val="21"/>
          <w:szCs w:val="21"/>
          <w:highlight w:val="none"/>
          <w:u w:val="single"/>
          <w:lang w:val="en-US" w:eastAsia="zh-CN"/>
        </w:rPr>
        <w:t xml:space="preserve">                     </w:t>
      </w:r>
      <w:r>
        <w:rPr>
          <w:rFonts w:hint="default" w:ascii="Times New Roman" w:hAnsi="Times New Roman" w:eastAsia="宋体" w:cs="Times New Roman"/>
          <w:bCs/>
          <w:color w:val="auto"/>
          <w:sz w:val="21"/>
          <w:szCs w:val="21"/>
          <w:highlight w:val="none"/>
          <w:u w:val="single"/>
        </w:rPr>
        <w:t xml:space="preserve">       </w:t>
      </w:r>
    </w:p>
    <w:p w14:paraId="506B433D">
      <w:pPr>
        <w:adjustRightInd w:val="0"/>
        <w:snapToGrid w:val="0"/>
        <w:spacing w:before="0" w:beforeLines="0" w:line="4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（4）分期履行要求：</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u w:val="single"/>
          <w:lang w:val="en-US" w:eastAsia="zh-CN"/>
        </w:rPr>
        <w:t xml:space="preserve">    </w:t>
      </w:r>
      <w:r>
        <w:rPr>
          <w:rFonts w:hint="default" w:ascii="Times New Roman" w:hAnsi="Times New Roman" w:eastAsia="宋体" w:cs="Times New Roman"/>
          <w:bCs/>
          <w:color w:val="auto"/>
          <w:szCs w:val="21"/>
          <w:highlight w:val="none"/>
          <w:u w:val="single"/>
        </w:rPr>
        <w:t xml:space="preserve"> </w:t>
      </w:r>
    </w:p>
    <w:p w14:paraId="5C012C70">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Cs/>
          <w:color w:val="auto"/>
          <w:szCs w:val="21"/>
          <w:highlight w:val="none"/>
        </w:rPr>
        <w:t>（5）</w:t>
      </w:r>
      <w:r>
        <w:rPr>
          <w:rFonts w:hint="default" w:ascii="Times New Roman" w:hAnsi="Times New Roman" w:eastAsia="宋体" w:cs="Times New Roman"/>
          <w:bCs/>
          <w:color w:val="auto"/>
          <w:szCs w:val="21"/>
          <w:highlight w:val="none"/>
          <w:lang w:eastAsia="zh-CN"/>
        </w:rPr>
        <w:t>风险处置措施和替代方案</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Cs w:val="21"/>
          <w:highlight w:val="none"/>
          <w:u w:val="single"/>
        </w:rPr>
        <w:t xml:space="preserve">                                                               </w:t>
      </w:r>
    </w:p>
    <w:p w14:paraId="6079EEE6">
      <w:pPr>
        <w:numPr>
          <w:ilvl w:val="0"/>
          <w:numId w:val="3"/>
        </w:numPr>
        <w:adjustRightInd w:val="0"/>
        <w:snapToGrid w:val="0"/>
        <w:spacing w:before="0" w:beforeLines="0" w:line="40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合同验收</w:t>
      </w:r>
    </w:p>
    <w:p w14:paraId="5D725FBE">
      <w:pPr>
        <w:numPr>
          <w:ilvl w:val="0"/>
          <w:numId w:val="5"/>
        </w:numPr>
        <w:adjustRightInd w:val="0"/>
        <w:snapToGrid w:val="0"/>
        <w:spacing w:before="0" w:beforeLines="0" w:line="4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验收组织方式：</w:t>
      </w:r>
      <w:r>
        <w:rPr>
          <w:rFonts w:hint="default" w:ascii="Times New Roman" w:hAnsi="Times New Roman" w:eastAsia="宋体" w:cs="Times New Roman"/>
          <w:color w:val="auto"/>
          <w:sz w:val="21"/>
          <w:szCs w:val="21"/>
          <w:highlight w:val="none"/>
        </w:rPr>
        <w:sym w:font="Wingdings" w:char="00FE"/>
      </w:r>
      <w:r>
        <w:rPr>
          <w:rFonts w:hint="default" w:ascii="Times New Roman" w:hAnsi="Times New Roman" w:eastAsia="宋体" w:cs="Times New Roman"/>
          <w:bCs/>
          <w:color w:val="auto"/>
          <w:szCs w:val="21"/>
          <w:highlight w:val="none"/>
        </w:rPr>
        <w:t xml:space="preserve">自行组织 </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委托第三方组织</w:t>
      </w:r>
    </w:p>
    <w:p w14:paraId="4D29CEBE">
      <w:pPr>
        <w:numPr>
          <w:ilvl w:val="0"/>
          <w:numId w:val="0"/>
        </w:numPr>
        <w:adjustRightInd w:val="0"/>
        <w:snapToGrid w:val="0"/>
        <w:spacing w:before="0" w:beforeLines="0" w:line="400" w:lineRule="exac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 xml:space="preserve">         </w:t>
      </w:r>
      <w:r>
        <w:rPr>
          <w:rFonts w:hint="default" w:ascii="Times New Roman" w:hAnsi="Times New Roman" w:eastAsia="宋体" w:cs="Times New Roman"/>
          <w:bCs/>
          <w:color w:val="auto"/>
          <w:szCs w:val="21"/>
          <w:highlight w:val="none"/>
        </w:rPr>
        <w:t>验收主体：</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cs="Times New Roman"/>
          <w:bCs/>
          <w:color w:val="auto"/>
          <w:szCs w:val="21"/>
          <w:highlight w:val="none"/>
          <w:u w:val="single"/>
          <w:lang w:val="en-US" w:eastAsia="zh-CN"/>
        </w:rPr>
        <w:t>大理州第二人民医院</w:t>
      </w:r>
      <w:r>
        <w:rPr>
          <w:rFonts w:hint="default" w:ascii="Times New Roman" w:hAnsi="Times New Roman" w:eastAsia="宋体" w:cs="Times New Roman"/>
          <w:bCs/>
          <w:color w:val="auto"/>
          <w:szCs w:val="21"/>
          <w:highlight w:val="none"/>
          <w:u w:val="single"/>
        </w:rPr>
        <w:t xml:space="preserve">                 </w:t>
      </w:r>
    </w:p>
    <w:p w14:paraId="6B5783EF">
      <w:pPr>
        <w:adjustRightInd w:val="0"/>
        <w:snapToGrid w:val="0"/>
        <w:spacing w:before="0" w:beforeLines="0" w:line="400" w:lineRule="exact"/>
        <w:ind w:firstLine="0" w:firstLineChars="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 xml:space="preserve">        </w:t>
      </w:r>
      <w:r>
        <w:rPr>
          <w:rFonts w:hint="default" w:ascii="Times New Roman" w:hAnsi="Times New Roman" w:eastAsia="宋体" w:cs="Times New Roman"/>
          <w:bCs/>
          <w:color w:val="auto"/>
          <w:szCs w:val="21"/>
          <w:highlight w:val="none"/>
        </w:rPr>
        <w:t>是否邀请本项目的其他供应商</w:t>
      </w:r>
      <w:r>
        <w:rPr>
          <w:rFonts w:hint="default" w:ascii="Times New Roman" w:hAnsi="Times New Roman" w:eastAsia="宋体" w:cs="Times New Roman"/>
          <w:bCs/>
          <w:color w:val="auto"/>
          <w:szCs w:val="21"/>
          <w:highlight w:val="none"/>
          <w:lang w:eastAsia="zh-CN"/>
        </w:rPr>
        <w:t>参加验收</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 xml:space="preserve">是  </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否</w:t>
      </w:r>
    </w:p>
    <w:p w14:paraId="1E049ED9">
      <w:pPr>
        <w:adjustRightInd w:val="0"/>
        <w:snapToGrid w:val="0"/>
        <w:spacing w:before="0" w:beforeLines="0" w:line="400" w:lineRule="exact"/>
        <w:ind w:firstLine="840" w:firstLineChars="4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是否邀请专家</w:t>
      </w:r>
      <w:r>
        <w:rPr>
          <w:rFonts w:hint="default" w:ascii="Times New Roman" w:hAnsi="Times New Roman" w:eastAsia="宋体" w:cs="Times New Roman"/>
          <w:bCs/>
          <w:color w:val="auto"/>
          <w:szCs w:val="21"/>
          <w:highlight w:val="none"/>
          <w:lang w:eastAsia="zh-CN"/>
        </w:rPr>
        <w:t>参加验收</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 xml:space="preserve">是  </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否</w:t>
      </w:r>
    </w:p>
    <w:p w14:paraId="02440250">
      <w:pPr>
        <w:adjustRightInd w:val="0"/>
        <w:snapToGrid w:val="0"/>
        <w:spacing w:before="0" w:beforeLines="0" w:line="400" w:lineRule="exact"/>
        <w:ind w:firstLine="840" w:firstLineChars="4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是否邀请服务对象</w:t>
      </w:r>
      <w:r>
        <w:rPr>
          <w:rFonts w:hint="default" w:ascii="Times New Roman" w:hAnsi="Times New Roman" w:eastAsia="宋体" w:cs="Times New Roman"/>
          <w:bCs/>
          <w:color w:val="auto"/>
          <w:szCs w:val="21"/>
          <w:highlight w:val="none"/>
          <w:lang w:eastAsia="zh-CN"/>
        </w:rPr>
        <w:t>参加验收</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 xml:space="preserve">是  </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否</w:t>
      </w:r>
    </w:p>
    <w:p w14:paraId="19D54414">
      <w:pPr>
        <w:adjustRightInd w:val="0"/>
        <w:snapToGrid w:val="0"/>
        <w:spacing w:before="0" w:beforeLines="0" w:line="400" w:lineRule="exact"/>
        <w:ind w:firstLine="840" w:firstLineChars="4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是否邀请第三方检测机构</w:t>
      </w:r>
      <w:r>
        <w:rPr>
          <w:rFonts w:hint="default" w:ascii="Times New Roman" w:hAnsi="Times New Roman" w:eastAsia="宋体" w:cs="Times New Roman"/>
          <w:bCs/>
          <w:color w:val="auto"/>
          <w:szCs w:val="21"/>
          <w:highlight w:val="none"/>
          <w:lang w:eastAsia="zh-CN"/>
        </w:rPr>
        <w:t>参加验收</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 xml:space="preserve">是  </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否</w:t>
      </w:r>
    </w:p>
    <w:p w14:paraId="0AB7D718">
      <w:pPr>
        <w:adjustRightInd w:val="0"/>
        <w:snapToGrid w:val="0"/>
        <w:spacing w:before="0" w:beforeLines="0" w:line="400" w:lineRule="exact"/>
        <w:ind w:firstLine="840" w:firstLineChars="4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eastAsia="zh-CN"/>
        </w:rPr>
        <w:t>是否进行抽查检测：</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是</w:t>
      </w:r>
      <w:r>
        <w:rPr>
          <w:rFonts w:hint="default" w:ascii="Times New Roman" w:hAnsi="Times New Roman" w:eastAsia="宋体" w:cs="Times New Roman"/>
          <w:bCs/>
          <w:color w:val="auto"/>
          <w:szCs w:val="21"/>
          <w:highlight w:val="none"/>
          <w:lang w:eastAsia="zh-CN"/>
        </w:rPr>
        <w:t>，抽查比例：</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u w:val="single"/>
          <w:lang w:val="en-US" w:eastAsia="zh-CN"/>
        </w:rPr>
        <w:t xml:space="preserve">     </w:t>
      </w:r>
      <w:r>
        <w:rPr>
          <w:rFonts w:hint="default" w:ascii="Times New Roman" w:hAnsi="Times New Roman" w:eastAsia="宋体" w:cs="Times New Roman"/>
          <w:bCs/>
          <w:color w:val="auto"/>
          <w:szCs w:val="21"/>
          <w:highlight w:val="none"/>
        </w:rPr>
        <w:t xml:space="preserve"> </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否</w:t>
      </w:r>
    </w:p>
    <w:p w14:paraId="527A6947">
      <w:pPr>
        <w:adjustRightInd w:val="0"/>
        <w:snapToGrid w:val="0"/>
        <w:spacing w:before="0" w:beforeLines="0" w:line="400" w:lineRule="exact"/>
        <w:ind w:firstLine="840" w:firstLineChars="400"/>
        <w:rPr>
          <w:rFonts w:hint="default" w:ascii="Times New Roman" w:hAnsi="Times New Roman" w:eastAsia="宋体" w:cs="Times New Roman"/>
          <w:bCs/>
          <w:color w:val="auto"/>
          <w:szCs w:val="21"/>
          <w:highlight w:val="none"/>
          <w:u w:val="single"/>
          <w:lang w:eastAsia="zh-CN"/>
        </w:rPr>
      </w:pPr>
      <w:r>
        <w:rPr>
          <w:rFonts w:hint="default" w:ascii="Times New Roman" w:hAnsi="Times New Roman" w:eastAsia="宋体" w:cs="Times New Roman"/>
          <w:bCs/>
          <w:color w:val="auto"/>
          <w:szCs w:val="21"/>
          <w:highlight w:val="none"/>
          <w:lang w:val="en-US" w:eastAsia="zh-CN"/>
        </w:rPr>
        <w:t>是否存在破坏性检测：</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是</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u w:val="single"/>
          <w:lang w:eastAsia="zh-CN"/>
        </w:rPr>
        <w:t>（应明确对被破坏的检测产品的处理方式）</w:t>
      </w:r>
    </w:p>
    <w:p w14:paraId="6E4D3B3B">
      <w:pPr>
        <w:adjustRightInd w:val="0"/>
        <w:snapToGrid w:val="0"/>
        <w:spacing w:before="0" w:beforeLines="0" w:line="400" w:lineRule="exact"/>
        <w:ind w:firstLine="840" w:firstLineChars="400"/>
        <w:rPr>
          <w:rFonts w:hint="default" w:ascii="Times New Roman" w:hAnsi="Times New Roman" w:eastAsia="宋体" w:cs="Times New Roman"/>
          <w:bCs/>
          <w:color w:val="auto"/>
          <w:szCs w:val="21"/>
          <w:highlight w:val="none"/>
          <w:lang w:eastAsia="zh-CN"/>
        </w:rPr>
      </w:pPr>
      <w:r>
        <w:rPr>
          <w:rFonts w:hint="default" w:ascii="Times New Roman" w:hAnsi="Times New Roman" w:eastAsia="宋体" w:cs="Times New Roman"/>
          <w:bCs/>
          <w:color w:val="auto"/>
          <w:szCs w:val="21"/>
          <w:highlight w:val="none"/>
          <w:lang w:val="en-US" w:eastAsia="zh-CN"/>
        </w:rPr>
        <w:t xml:space="preserve">                    </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否</w:t>
      </w:r>
    </w:p>
    <w:p w14:paraId="2867A6A8">
      <w:pPr>
        <w:adjustRightInd w:val="0"/>
        <w:snapToGrid w:val="0"/>
        <w:spacing w:before="0" w:beforeLines="0" w:line="400" w:lineRule="exact"/>
        <w:ind w:firstLine="840" w:firstLineChars="4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验收组织的其他事项：</w:t>
      </w:r>
      <w:r>
        <w:rPr>
          <w:rFonts w:hint="default" w:ascii="Times New Roman" w:hAnsi="Times New Roman" w:eastAsia="宋体" w:cs="Times New Roman"/>
          <w:bCs/>
          <w:color w:val="auto"/>
          <w:szCs w:val="21"/>
          <w:highlight w:val="none"/>
          <w:u w:val="single"/>
        </w:rPr>
        <w:t xml:space="preserve">                </w:t>
      </w:r>
    </w:p>
    <w:p w14:paraId="4B8474F9">
      <w:pPr>
        <w:adjustRightInd w:val="0"/>
        <w:snapToGrid w:val="0"/>
        <w:spacing w:before="0" w:beforeLines="0" w:line="40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（2）履约验收时间：</w:t>
      </w:r>
      <w:r>
        <w:rPr>
          <w:rFonts w:hint="default" w:ascii="Times New Roman" w:hAnsi="Times New Roman" w:eastAsia="宋体" w:cs="Times New Roman"/>
          <w:bCs/>
          <w:color w:val="auto"/>
          <w:szCs w:val="21"/>
          <w:highlight w:val="none"/>
          <w:u w:val="single"/>
        </w:rPr>
        <w:t>（计划于何时验收/供应商提出验收申请之日起   日内组织验收）</w:t>
      </w:r>
      <w:r>
        <w:rPr>
          <w:rFonts w:hint="default" w:ascii="Times New Roman" w:hAnsi="Times New Roman" w:eastAsia="宋体" w:cs="Times New Roman"/>
          <w:bCs/>
          <w:color w:val="auto"/>
          <w:szCs w:val="21"/>
          <w:highlight w:val="none"/>
          <w:u w:val="single"/>
          <w:lang w:val="en-US" w:eastAsia="zh-CN"/>
        </w:rPr>
        <w:t xml:space="preserve"> </w:t>
      </w:r>
    </w:p>
    <w:p w14:paraId="3A8A01D3">
      <w:pPr>
        <w:adjustRightInd w:val="0"/>
        <w:snapToGrid w:val="0"/>
        <w:spacing w:before="0" w:beforeLines="0" w:line="4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（3）履约验收方式：</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 xml:space="preserve">一次性验收         </w:t>
      </w:r>
    </w:p>
    <w:p w14:paraId="27015031">
      <w:pPr>
        <w:adjustRightInd w:val="0"/>
        <w:snapToGrid w:val="0"/>
        <w:spacing w:before="0" w:beforeLines="0" w:line="400" w:lineRule="exact"/>
        <w:ind w:firstLine="0" w:firstLineChars="0"/>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 xml:space="preserve">                       </w:t>
      </w:r>
      <w:r>
        <w:rPr>
          <w:rFonts w:hint="default" w:ascii="Times New Roman" w:hAnsi="Times New Roman" w:eastAsia="宋体" w:cs="Times New Roman"/>
          <w:color w:val="auto"/>
          <w:sz w:val="21"/>
          <w:szCs w:val="21"/>
          <w:highlight w:val="none"/>
        </w:rPr>
        <w:sym w:font="Wingdings" w:char="00A8"/>
      </w:r>
      <w:r>
        <w:rPr>
          <w:rFonts w:hint="default" w:ascii="Times New Roman" w:hAnsi="Times New Roman" w:eastAsia="宋体" w:cs="Times New Roman"/>
          <w:bCs/>
          <w:color w:val="auto"/>
          <w:szCs w:val="21"/>
          <w:highlight w:val="none"/>
        </w:rPr>
        <w:t>分期/分项验收</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u w:val="single"/>
          <w:lang w:eastAsia="zh-CN"/>
        </w:rPr>
        <w:t>（应明确分期</w:t>
      </w:r>
      <w:r>
        <w:rPr>
          <w:rFonts w:hint="default" w:ascii="Times New Roman" w:hAnsi="Times New Roman" w:eastAsia="宋体" w:cs="Times New Roman"/>
          <w:bCs/>
          <w:color w:val="auto"/>
          <w:szCs w:val="21"/>
          <w:highlight w:val="none"/>
          <w:u w:val="single"/>
          <w:lang w:val="en" w:eastAsia="zh-CN"/>
        </w:rPr>
        <w:t>/分项验收的工作安排</w:t>
      </w:r>
      <w:r>
        <w:rPr>
          <w:rFonts w:hint="default" w:ascii="Times New Roman" w:hAnsi="Times New Roman" w:eastAsia="宋体" w:cs="Times New Roman"/>
          <w:bCs/>
          <w:color w:val="auto"/>
          <w:szCs w:val="21"/>
          <w:highlight w:val="none"/>
          <w:u w:val="single"/>
          <w:lang w:eastAsia="zh-CN"/>
        </w:rPr>
        <w:t>）</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u w:val="single"/>
          <w:lang w:val="en-US" w:eastAsia="zh-CN"/>
        </w:rPr>
        <w:t xml:space="preserve"> </w:t>
      </w:r>
    </w:p>
    <w:p w14:paraId="291646B9">
      <w:pPr>
        <w:adjustRightInd w:val="0"/>
        <w:snapToGrid w:val="0"/>
        <w:spacing w:before="0" w:beforeLines="0" w:line="400" w:lineRule="exact"/>
        <w:ind w:firstLine="420" w:firstLineChars="20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（4）履约验收程序：</w:t>
      </w:r>
      <w:r>
        <w:rPr>
          <w:rFonts w:hint="default" w:ascii="Times New Roman" w:hAnsi="Times New Roman" w:eastAsia="宋体" w:cs="Times New Roman"/>
          <w:bCs/>
          <w:color w:val="auto"/>
          <w:szCs w:val="21"/>
          <w:highlight w:val="none"/>
          <w:u w:val="single"/>
        </w:rPr>
        <w:t xml:space="preserve">                                         </w:t>
      </w:r>
    </w:p>
    <w:p w14:paraId="3E9D72AF">
      <w:pPr>
        <w:adjustRightInd w:val="0"/>
        <w:snapToGrid w:val="0"/>
        <w:spacing w:before="0" w:beforeLines="0" w:line="40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（5）履约验收的内容：</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color w:val="auto"/>
          <w:szCs w:val="21"/>
          <w:highlight w:val="none"/>
          <w:u w:val="single"/>
          <w:lang w:eastAsia="zh-CN"/>
        </w:rPr>
        <w:t>（应当包括每一项技术和商务要求的履约情况，特别是落实政府采购扶持中小企业，支持绿色发展和乡村振兴等政策情况）</w:t>
      </w:r>
      <w:r>
        <w:rPr>
          <w:rFonts w:hint="default" w:ascii="Times New Roman" w:hAnsi="Times New Roman" w:eastAsia="宋体" w:cs="Times New Roman"/>
          <w:bCs/>
          <w:color w:val="auto"/>
          <w:szCs w:val="21"/>
          <w:highlight w:val="none"/>
          <w:u w:val="single"/>
        </w:rPr>
        <w:t xml:space="preserve">                                      </w:t>
      </w:r>
    </w:p>
    <w:p w14:paraId="5DEBC9A8">
      <w:pPr>
        <w:adjustRightInd w:val="0"/>
        <w:snapToGrid w:val="0"/>
        <w:spacing w:before="0" w:beforeLines="0" w:line="40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（6）履约验收标准：</w:t>
      </w:r>
      <w:r>
        <w:rPr>
          <w:rFonts w:hint="default" w:ascii="Times New Roman" w:hAnsi="Times New Roman" w:eastAsia="宋体" w:cs="Times New Roman"/>
          <w:bCs/>
          <w:color w:val="auto"/>
          <w:szCs w:val="21"/>
          <w:highlight w:val="none"/>
          <w:u w:val="single"/>
        </w:rPr>
        <w:t xml:space="preserve">                                         </w:t>
      </w:r>
    </w:p>
    <w:p w14:paraId="710204B2">
      <w:pPr>
        <w:autoSpaceDE w:val="0"/>
        <w:autoSpaceDN w:val="0"/>
        <w:adjustRightInd w:val="0"/>
        <w:spacing w:beforeLines="0" w:line="40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bCs/>
          <w:color w:val="auto"/>
          <w:sz w:val="21"/>
          <w:szCs w:val="21"/>
          <w:highlight w:val="none"/>
          <w:u w:val="none"/>
          <w:lang w:val="en-US" w:eastAsia="zh-CN" w:bidi="ar-SA"/>
        </w:rPr>
        <w:t>（7）是否以采购活动中供应商提供的样品作为参考：</w:t>
      </w:r>
      <w:r>
        <w:rPr>
          <w:rFonts w:hint="default" w:ascii="Times New Roman" w:hAnsi="Times New Roman" w:eastAsia="宋体" w:cs="Times New Roman"/>
          <w:color w:val="auto"/>
          <w:sz w:val="21"/>
          <w:szCs w:val="21"/>
          <w:highlight w:val="none"/>
          <w:lang w:val="en-US" w:eastAsia="zh-CN" w:bidi="ar-SA"/>
        </w:rPr>
        <w:sym w:font="Wingdings" w:char="00A8"/>
      </w:r>
      <w:r>
        <w:rPr>
          <w:rFonts w:hint="default" w:ascii="Times New Roman" w:hAnsi="Times New Roman" w:eastAsia="宋体" w:cs="Times New Roman"/>
          <w:bCs/>
          <w:color w:val="auto"/>
          <w:sz w:val="21"/>
          <w:szCs w:val="21"/>
          <w:highlight w:val="none"/>
          <w:lang w:val="en-US" w:eastAsia="zh-CN" w:bidi="ar-SA"/>
        </w:rPr>
        <w:t xml:space="preserve">是  </w:t>
      </w:r>
      <w:r>
        <w:rPr>
          <w:rFonts w:hint="default" w:ascii="Times New Roman" w:hAnsi="Times New Roman" w:eastAsia="宋体" w:cs="Times New Roman"/>
          <w:color w:val="auto"/>
          <w:sz w:val="21"/>
          <w:szCs w:val="21"/>
          <w:highlight w:val="none"/>
          <w:lang w:val="en-US" w:eastAsia="zh-CN" w:bidi="ar-SA"/>
        </w:rPr>
        <w:sym w:font="Wingdings" w:char="00A8"/>
      </w:r>
      <w:r>
        <w:rPr>
          <w:rFonts w:hint="default" w:ascii="Times New Roman" w:hAnsi="Times New Roman" w:eastAsia="宋体" w:cs="Times New Roman"/>
          <w:bCs/>
          <w:color w:val="auto"/>
          <w:sz w:val="21"/>
          <w:szCs w:val="21"/>
          <w:highlight w:val="none"/>
          <w:lang w:val="en-US" w:eastAsia="zh-CN" w:bidi="ar-SA"/>
        </w:rPr>
        <w:t>否</w:t>
      </w:r>
    </w:p>
    <w:p w14:paraId="001CD902">
      <w:pPr>
        <w:adjustRightInd w:val="0"/>
        <w:snapToGrid w:val="0"/>
        <w:spacing w:before="0" w:beforeLines="0" w:line="400" w:lineRule="exact"/>
        <w:ind w:firstLine="420" w:firstLineChars="200"/>
        <w:rPr>
          <w:rFonts w:hint="default" w:ascii="Times New Roman" w:hAnsi="Times New Roman" w:eastAsia="宋体" w:cs="Times New Roman"/>
          <w:bCs/>
          <w:color w:val="auto"/>
          <w:szCs w:val="21"/>
          <w:highlight w:val="none"/>
          <w:u w:val="single"/>
        </w:rPr>
      </w:pPr>
      <w:r>
        <w:rPr>
          <w:rFonts w:hint="default" w:ascii="Times New Roman" w:hAnsi="Times New Roman" w:eastAsia="宋体" w:cs="Times New Roman"/>
          <w:bCs/>
          <w:color w:val="auto"/>
          <w:szCs w:val="21"/>
          <w:highlight w:val="none"/>
        </w:rPr>
        <w:t>（8）履约验收其他事项：</w:t>
      </w:r>
      <w:r>
        <w:rPr>
          <w:rFonts w:hint="default" w:ascii="Times New Roman" w:hAnsi="Times New Roman" w:eastAsia="宋体" w:cs="Times New Roman"/>
          <w:bCs/>
          <w:color w:val="auto"/>
          <w:szCs w:val="21"/>
          <w:highlight w:val="none"/>
          <w:u w:val="single"/>
        </w:rPr>
        <w:t xml:space="preserve">      </w:t>
      </w:r>
      <w:r>
        <w:rPr>
          <w:rFonts w:hint="default" w:ascii="Times New Roman" w:hAnsi="Times New Roman" w:eastAsia="宋体" w:cs="Times New Roman"/>
          <w:bCs/>
          <w:i w:val="0"/>
          <w:iCs w:val="0"/>
          <w:color w:val="auto"/>
          <w:szCs w:val="21"/>
          <w:highlight w:val="none"/>
          <w:u w:val="single"/>
        </w:rPr>
        <w:t>（产权过户登记等）</w:t>
      </w:r>
      <w:r>
        <w:rPr>
          <w:rFonts w:hint="default" w:ascii="Times New Roman" w:hAnsi="Times New Roman" w:eastAsia="宋体" w:cs="Times New Roman"/>
          <w:bCs/>
          <w:color w:val="auto"/>
          <w:szCs w:val="21"/>
          <w:highlight w:val="none"/>
          <w:u w:val="single"/>
        </w:rPr>
        <w:t xml:space="preserve">          </w:t>
      </w:r>
    </w:p>
    <w:p w14:paraId="73195088">
      <w:pPr>
        <w:numPr>
          <w:ilvl w:val="0"/>
          <w:numId w:val="3"/>
        </w:numPr>
        <w:adjustRightInd w:val="0"/>
        <w:snapToGrid w:val="0"/>
        <w:spacing w:before="0" w:beforeLines="0" w:line="40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组成合同的文件</w:t>
      </w:r>
    </w:p>
    <w:p w14:paraId="7195EED6">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本协议书与下列文件一起构成合同文件，如下述文件之间有任何抵触、矛盾或歧义，应按以下顺序解释：</w:t>
      </w:r>
    </w:p>
    <w:p w14:paraId="443AF319">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政府采购</w:t>
      </w:r>
      <w:r>
        <w:rPr>
          <w:rFonts w:hint="default" w:ascii="Times New Roman" w:hAnsi="Times New Roman" w:eastAsia="宋体" w:cs="Times New Roman"/>
          <w:color w:val="auto"/>
          <w:szCs w:val="21"/>
          <w:highlight w:val="none"/>
        </w:rPr>
        <w:t>合同协议书及其变更、补充</w:t>
      </w:r>
      <w:r>
        <w:rPr>
          <w:rFonts w:hint="default" w:ascii="Times New Roman" w:hAnsi="Times New Roman" w:eastAsia="宋体" w:cs="Times New Roman"/>
          <w:color w:val="auto"/>
          <w:szCs w:val="21"/>
          <w:highlight w:val="none"/>
          <w:lang w:eastAsia="zh-CN"/>
        </w:rPr>
        <w:t>协议</w:t>
      </w:r>
    </w:p>
    <w:p w14:paraId="7B4EC649">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）政府采购合同专用条款</w:t>
      </w:r>
    </w:p>
    <w:p w14:paraId="3C5EC2B1">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）政府采购合同通用条款</w:t>
      </w:r>
    </w:p>
    <w:p w14:paraId="77664DAA">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）中标</w:t>
      </w:r>
      <w:r>
        <w:rPr>
          <w:rFonts w:hint="default" w:ascii="Times New Roman" w:hAnsi="Times New Roman" w:eastAsia="宋体" w:cs="Times New Roman"/>
          <w:color w:val="auto"/>
          <w:szCs w:val="21"/>
          <w:highlight w:val="none"/>
          <w:lang w:eastAsia="zh-CN"/>
        </w:rPr>
        <w:t>（成交）</w:t>
      </w:r>
      <w:r>
        <w:rPr>
          <w:rFonts w:hint="default" w:ascii="Times New Roman" w:hAnsi="Times New Roman" w:eastAsia="宋体" w:cs="Times New Roman"/>
          <w:color w:val="auto"/>
          <w:szCs w:val="21"/>
          <w:highlight w:val="none"/>
        </w:rPr>
        <w:t>通知书</w:t>
      </w:r>
    </w:p>
    <w:p w14:paraId="1FEA4402">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）投标（响应）文件</w:t>
      </w:r>
    </w:p>
    <w:p w14:paraId="005CE049">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（6）采购文件</w:t>
      </w:r>
    </w:p>
    <w:p w14:paraId="055CC31D">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（7）有关技术文件，图纸</w:t>
      </w:r>
    </w:p>
    <w:p w14:paraId="40D6F018">
      <w:pPr>
        <w:autoSpaceDE w:val="0"/>
        <w:autoSpaceDN w:val="0"/>
        <w:adjustRightInd w:val="0"/>
        <w:spacing w:beforeLines="0" w:line="400" w:lineRule="exact"/>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（8）</w:t>
      </w:r>
      <w:r>
        <w:rPr>
          <w:rFonts w:hint="default" w:ascii="Times New Roman" w:hAnsi="Times New Roman" w:eastAsia="宋体" w:cs="Times New Roman"/>
          <w:bCs w:val="0"/>
          <w:color w:val="auto"/>
          <w:kern w:val="2"/>
          <w:sz w:val="21"/>
          <w:szCs w:val="21"/>
          <w:highlight w:val="none"/>
          <w:lang w:val="en-US" w:eastAsia="zh-CN" w:bidi="ar-SA"/>
        </w:rPr>
        <w:t>国家法律、行政法规和规章制度规定或合同约定的作为合同组成部分的其他文件</w:t>
      </w:r>
    </w:p>
    <w:p w14:paraId="35172474">
      <w:pPr>
        <w:numPr>
          <w:ilvl w:val="0"/>
          <w:numId w:val="3"/>
        </w:numPr>
        <w:adjustRightInd w:val="0"/>
        <w:snapToGrid w:val="0"/>
        <w:spacing w:before="0" w:beforeLines="0" w:line="40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合同生效</w:t>
      </w:r>
    </w:p>
    <w:p w14:paraId="358DCFD5">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本合同自</w:t>
      </w:r>
      <w:r>
        <w:rPr>
          <w:rFonts w:hint="default" w:ascii="Times New Roman" w:hAnsi="Times New Roman" w:cs="Times New Roman"/>
          <w:color w:val="auto"/>
          <w:sz w:val="24"/>
          <w:highlight w:val="none"/>
          <w:u w:val="single"/>
        </w:rPr>
        <w:t>甲乙双方（法人或授权代表人）签字盖章后</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Cs w:val="21"/>
          <w:highlight w:val="none"/>
        </w:rPr>
        <w:t>生效。</w:t>
      </w:r>
    </w:p>
    <w:p w14:paraId="57406129">
      <w:pPr>
        <w:numPr>
          <w:ilvl w:val="0"/>
          <w:numId w:val="3"/>
        </w:numPr>
        <w:adjustRightInd w:val="0"/>
        <w:snapToGrid w:val="0"/>
        <w:spacing w:before="0" w:beforeLines="0" w:line="400" w:lineRule="exact"/>
        <w:ind w:firstLine="422" w:firstLineChars="200"/>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合同份数</w:t>
      </w:r>
    </w:p>
    <w:p w14:paraId="2BD9DB15">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本合同一式</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cs="Times New Roman"/>
          <w:color w:val="auto"/>
          <w:szCs w:val="21"/>
          <w:highlight w:val="none"/>
          <w:u w:val="single"/>
          <w:lang w:val="en-US" w:eastAsia="zh-CN"/>
        </w:rPr>
        <w:t>陆</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份，</w:t>
      </w:r>
      <w:r>
        <w:rPr>
          <w:rFonts w:hint="default" w:ascii="Times New Roman" w:hAnsi="Times New Roman" w:eastAsia="宋体" w:cs="Times New Roman"/>
          <w:color w:val="auto"/>
          <w:szCs w:val="21"/>
          <w:highlight w:val="none"/>
          <w:lang w:eastAsia="zh-CN"/>
        </w:rPr>
        <w:t>甲方</w:t>
      </w:r>
      <w:r>
        <w:rPr>
          <w:rFonts w:hint="default" w:ascii="Times New Roman" w:hAnsi="Times New Roman" w:eastAsia="宋体" w:cs="Times New Roman"/>
          <w:color w:val="auto"/>
          <w:szCs w:val="21"/>
          <w:highlight w:val="none"/>
        </w:rPr>
        <w:t>执</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cs="Times New Roman"/>
          <w:color w:val="auto"/>
          <w:szCs w:val="21"/>
          <w:highlight w:val="none"/>
          <w:u w:val="single"/>
          <w:lang w:val="en-US" w:eastAsia="zh-CN"/>
        </w:rPr>
        <w:t>伍</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份，</w:t>
      </w:r>
      <w:r>
        <w:rPr>
          <w:rFonts w:hint="default" w:ascii="Times New Roman" w:hAnsi="Times New Roman" w:eastAsia="宋体" w:cs="Times New Roman"/>
          <w:color w:val="auto"/>
          <w:szCs w:val="21"/>
          <w:highlight w:val="none"/>
          <w:lang w:eastAsia="zh-CN"/>
        </w:rPr>
        <w:t>乙方</w:t>
      </w:r>
      <w:r>
        <w:rPr>
          <w:rFonts w:hint="default" w:ascii="Times New Roman" w:hAnsi="Times New Roman" w:eastAsia="宋体" w:cs="Times New Roman"/>
          <w:color w:val="auto"/>
          <w:szCs w:val="21"/>
          <w:highlight w:val="none"/>
        </w:rPr>
        <w:t>执</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cs="Times New Roman"/>
          <w:color w:val="auto"/>
          <w:szCs w:val="21"/>
          <w:highlight w:val="none"/>
          <w:u w:val="single"/>
          <w:lang w:val="en-US" w:eastAsia="zh-CN"/>
        </w:rPr>
        <w:t>壹</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份，均具有同等法律效力。</w:t>
      </w:r>
    </w:p>
    <w:p w14:paraId="25A241C0">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合同订立时间：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年</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月</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日</w:t>
      </w:r>
    </w:p>
    <w:p w14:paraId="38FDB68B">
      <w:pPr>
        <w:adjustRightInd w:val="0"/>
        <w:snapToGrid w:val="0"/>
        <w:spacing w:before="0" w:beforeLines="0" w:line="40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合同订立地点：</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cs="Times New Roman"/>
          <w:color w:val="auto"/>
          <w:szCs w:val="21"/>
          <w:highlight w:val="none"/>
          <w:u w:val="single"/>
          <w:lang w:val="en-US" w:eastAsia="zh-CN"/>
        </w:rPr>
        <w:t>大理州第二人民医院</w:t>
      </w:r>
      <w:r>
        <w:rPr>
          <w:rFonts w:hint="default" w:ascii="Times New Roman" w:hAnsi="Times New Roman" w:eastAsia="宋体" w:cs="Times New Roman"/>
          <w:color w:val="auto"/>
          <w:szCs w:val="21"/>
          <w:highlight w:val="none"/>
          <w:u w:val="single"/>
        </w:rPr>
        <w:t xml:space="preserve"> </w:t>
      </w:r>
    </w:p>
    <w:p w14:paraId="3A30B304">
      <w:pPr>
        <w:adjustRightInd w:val="0"/>
        <w:snapToGrid w:val="0"/>
        <w:spacing w:before="0" w:beforeLines="0"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附件：具体标</w:t>
      </w:r>
      <w:r>
        <w:rPr>
          <w:rFonts w:hint="default" w:ascii="Times New Roman" w:hAnsi="Times New Roman" w:eastAsia="宋体" w:cs="Times New Roman"/>
          <w:color w:val="auto"/>
          <w:szCs w:val="21"/>
          <w:highlight w:val="none"/>
          <w:lang w:eastAsia="zh-CN"/>
        </w:rPr>
        <w:t>的及其</w:t>
      </w:r>
      <w:r>
        <w:rPr>
          <w:rFonts w:hint="default" w:ascii="Times New Roman" w:hAnsi="Times New Roman" w:eastAsia="宋体" w:cs="Times New Roman"/>
          <w:color w:val="auto"/>
          <w:szCs w:val="21"/>
          <w:highlight w:val="none"/>
          <w:u w:val="none"/>
          <w:lang w:val="en-US" w:eastAsia="zh-CN"/>
        </w:rPr>
        <w:t>技术要求和商务要求</w:t>
      </w:r>
      <w:r>
        <w:rPr>
          <w:rFonts w:hint="default" w:ascii="Times New Roman" w:hAnsi="Times New Roman" w:eastAsia="宋体" w:cs="Times New Roman"/>
          <w:color w:val="auto"/>
          <w:szCs w:val="21"/>
          <w:highlight w:val="none"/>
        </w:rPr>
        <w:t>、联合协议、分包</w:t>
      </w:r>
      <w:r>
        <w:rPr>
          <w:rFonts w:hint="default" w:ascii="Times New Roman" w:hAnsi="Times New Roman" w:eastAsia="宋体" w:cs="Times New Roman"/>
          <w:color w:val="auto"/>
          <w:szCs w:val="21"/>
          <w:highlight w:val="none"/>
          <w:lang w:eastAsia="zh-CN"/>
        </w:rPr>
        <w:t>意向</w:t>
      </w:r>
      <w:r>
        <w:rPr>
          <w:rFonts w:hint="default" w:ascii="Times New Roman" w:hAnsi="Times New Roman" w:eastAsia="宋体" w:cs="Times New Roman"/>
          <w:color w:val="auto"/>
          <w:szCs w:val="21"/>
          <w:highlight w:val="none"/>
        </w:rPr>
        <w:t>协议等。</w:t>
      </w:r>
    </w:p>
    <w:p w14:paraId="7CC43DED">
      <w:pPr>
        <w:widowControl w:val="0"/>
        <w:spacing w:beforeLines="0" w:line="400" w:lineRule="exact"/>
        <w:ind w:firstLine="420" w:firstLineChars="200"/>
        <w:jc w:val="both"/>
        <w:rPr>
          <w:rFonts w:hint="default" w:ascii="Times New Roman" w:hAnsi="Times New Roman" w:eastAsia="宋体" w:cs="Times New Roman"/>
          <w:color w:val="auto"/>
          <w:kern w:val="2"/>
          <w:sz w:val="21"/>
          <w:szCs w:val="21"/>
          <w:highlight w:val="none"/>
          <w:lang w:val="en-US" w:eastAsia="zh-CN" w:bidi="ar-SA"/>
        </w:rPr>
      </w:pPr>
    </w:p>
    <w:p w14:paraId="7602E0A4">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 w:eastAsia="zh-CN"/>
        </w:rPr>
        <w:t xml:space="preserve">   </w:t>
      </w:r>
    </w:p>
    <w:p w14:paraId="5C50E8C9">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14:paraId="1E0AB4F0">
      <w:pPr>
        <w:widowControl w:val="0"/>
        <w:ind w:firstLine="420" w:firstLineChars="200"/>
        <w:jc w:val="both"/>
        <w:rPr>
          <w:rFonts w:hint="default" w:ascii="Times New Roman" w:hAnsi="Times New Roman" w:eastAsia="宋体" w:cs="Times New Roman"/>
          <w:color w:val="auto"/>
          <w:kern w:val="2"/>
          <w:sz w:val="21"/>
          <w:szCs w:val="21"/>
          <w:highlight w:val="none"/>
          <w:lang w:val="en-US" w:eastAsia="zh-CN" w:bidi="ar-SA"/>
        </w:rPr>
      </w:pPr>
    </w:p>
    <w:tbl>
      <w:tblPr>
        <w:tblStyle w:val="1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01"/>
        <w:gridCol w:w="2551"/>
        <w:gridCol w:w="2093"/>
        <w:gridCol w:w="2239"/>
      </w:tblGrid>
      <w:tr w14:paraId="5307A10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3D3EDEB0">
            <w:pPr>
              <w:adjustRightInd w:val="0"/>
              <w:snapToGrid w:val="0"/>
              <w:spacing w:line="3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甲方（采购人</w:t>
            </w:r>
            <w:r>
              <w:rPr>
                <w:rFonts w:hint="default" w:ascii="Times New Roman" w:hAnsi="Times New Roman" w:eastAsia="宋体" w:cs="Times New Roman"/>
                <w:color w:val="auto"/>
                <w:szCs w:val="21"/>
                <w:highlight w:val="none"/>
                <w:lang w:eastAsia="zh-CN"/>
              </w:rPr>
              <w:t>、受采购人委托签订合同的单位</w:t>
            </w:r>
            <w:r>
              <w:rPr>
                <w:rFonts w:hint="default" w:ascii="Times New Roman" w:hAnsi="Times New Roman" w:eastAsia="宋体" w:cs="Times New Roman"/>
                <w:color w:val="auto"/>
                <w:szCs w:val="21"/>
                <w:highlight w:val="none"/>
              </w:rPr>
              <w:t>或采购文件约定的合同甲方）</w:t>
            </w:r>
          </w:p>
        </w:tc>
        <w:tc>
          <w:tcPr>
            <w:tcW w:w="2437" w:type="pct"/>
            <w:gridSpan w:val="2"/>
            <w:tcBorders>
              <w:left w:val="single" w:color="auto" w:sz="2" w:space="0"/>
              <w:bottom w:val="single" w:color="auto" w:sz="2" w:space="0"/>
            </w:tcBorders>
            <w:noWrap w:val="0"/>
            <w:vAlign w:val="center"/>
          </w:tcPr>
          <w:p w14:paraId="24BECD33">
            <w:pPr>
              <w:adjustRightInd w:val="0"/>
              <w:snapToGrid w:val="0"/>
              <w:spacing w:line="3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乙方（供应商）</w:t>
            </w:r>
          </w:p>
        </w:tc>
      </w:tr>
      <w:tr w14:paraId="4C7BE5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28F1AD62">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单位名称（公章</w:t>
            </w:r>
            <w:r>
              <w:rPr>
                <w:rFonts w:hint="default" w:ascii="Times New Roman" w:hAnsi="Times New Roman" w:eastAsia="宋体" w:cs="Times New Roman"/>
                <w:color w:val="auto"/>
                <w:szCs w:val="21"/>
                <w:highlight w:val="none"/>
                <w:lang w:eastAsia="zh-CN"/>
              </w:rPr>
              <w:t>或合同章</w:t>
            </w:r>
            <w:r>
              <w:rPr>
                <w:rFonts w:hint="default" w:ascii="Times New Roman" w:hAnsi="Times New Roman" w:eastAsia="宋体" w:cs="Times New Roman"/>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C1EF2B6">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F5A30AB">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单位名称（公章</w:t>
            </w:r>
            <w:r>
              <w:rPr>
                <w:rFonts w:hint="default" w:ascii="Times New Roman" w:hAnsi="Times New Roman" w:eastAsia="宋体" w:cs="Times New Roman"/>
                <w:color w:val="auto"/>
                <w:szCs w:val="21"/>
                <w:highlight w:val="none"/>
                <w:lang w:eastAsia="zh-CN"/>
              </w:rPr>
              <w:t>或合同章</w:t>
            </w:r>
            <w:r>
              <w:rPr>
                <w:rFonts w:hint="default" w:ascii="Times New Roman" w:hAnsi="Times New Roman" w:eastAsia="宋体" w:cs="Times New Roman"/>
                <w:color w:val="auto"/>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1AD39DEB">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003DC1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566A031B">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p>
          <w:p w14:paraId="591ACF3B">
            <w:pPr>
              <w:adjustRightInd w:val="0"/>
              <w:snapToGrid w:val="0"/>
              <w:spacing w:line="300" w:lineRule="exact"/>
              <w:ind w:firstLine="100" w:firstLineChars="48"/>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416B120F">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right w:val="single" w:color="auto" w:sz="2" w:space="0"/>
            </w:tcBorders>
            <w:noWrap w:val="0"/>
            <w:vAlign w:val="center"/>
          </w:tcPr>
          <w:p w14:paraId="642B1DFF">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法定代表人</w:t>
            </w:r>
          </w:p>
          <w:p w14:paraId="365E22C1">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26A38E01">
            <w:pPr>
              <w:adjustRightInd w:val="0"/>
              <w:snapToGrid w:val="0"/>
              <w:spacing w:line="300" w:lineRule="exact"/>
              <w:jc w:val="center"/>
              <w:rPr>
                <w:rFonts w:hint="default" w:ascii="Times New Roman" w:hAnsi="Times New Roman" w:eastAsia="宋体" w:cs="Times New Roman"/>
                <w:color w:val="auto"/>
                <w:szCs w:val="21"/>
                <w:highlight w:val="none"/>
              </w:rPr>
            </w:pPr>
          </w:p>
        </w:tc>
      </w:tr>
      <w:tr w14:paraId="543189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09BBBD3E">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6AECA63C">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97312C3">
            <w:pPr>
              <w:adjustRightInd w:val="0"/>
              <w:snapToGrid w:val="0"/>
              <w:spacing w:line="300" w:lineRule="exact"/>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05ACE608">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5C334A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30FCC18">
            <w:pPr>
              <w:adjustRightInd w:val="0"/>
              <w:snapToGrid w:val="0"/>
              <w:spacing w:line="300" w:lineRule="exact"/>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住</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D8C608D">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D4641F0">
            <w:pPr>
              <w:adjustRightInd w:val="0"/>
              <w:snapToGrid w:val="0"/>
              <w:spacing w:line="300" w:lineRule="exact"/>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住</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2032F17E">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595B94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EE4BCB5">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2166115">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D7878A4">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4CCA45E9">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703CF4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436FA50">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E0266E1">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ACA9711">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362CA899">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6F6D00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5DFE837">
            <w:pPr>
              <w:adjustRightInd w:val="0"/>
              <w:snapToGrid w:val="0"/>
              <w:spacing w:line="300" w:lineRule="exact"/>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C1E5A0D">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0320B61">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0C1B3089">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1C6F0F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3E72428">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316F514">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70AD089">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6A87903C">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432953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F7A4D42">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D7CBF66">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4523F0">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0424BCFF">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709446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7E4B4B7">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31606F2">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DA4787D">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71007A08">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10A126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4DF8DDC">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D77AB5">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12C842E">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2EA5EEB5">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09741C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919D44B">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37674B1">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DBDB34C">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6C8E80C3">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55D953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83770B5">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0B3B939">
            <w:pPr>
              <w:adjustRightInd w:val="0"/>
              <w:snapToGrid w:val="0"/>
              <w:spacing w:line="300" w:lineRule="exact"/>
              <w:jc w:val="center"/>
              <w:rPr>
                <w:rFonts w:hint="default" w:ascii="Times New Roman" w:hAnsi="Times New Roman" w:eastAsia="宋体" w:cs="Times New Roman"/>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B5F12D7">
            <w:pPr>
              <w:adjustRightInd w:val="0"/>
              <w:snapToGrid w:val="0"/>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63A9CFF5">
            <w:pPr>
              <w:adjustRightInd w:val="0"/>
              <w:snapToGrid w:val="0"/>
              <w:spacing w:line="300" w:lineRule="exact"/>
              <w:jc w:val="center"/>
              <w:rPr>
                <w:rFonts w:hint="default" w:ascii="Times New Roman" w:hAnsi="Times New Roman" w:eastAsia="宋体" w:cs="Times New Roman"/>
                <w:color w:val="auto"/>
                <w:spacing w:val="20"/>
                <w:szCs w:val="21"/>
                <w:highlight w:val="none"/>
              </w:rPr>
            </w:pPr>
          </w:p>
        </w:tc>
      </w:tr>
      <w:tr w14:paraId="70DFF7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5C929C8F">
            <w:pPr>
              <w:widowControl w:val="0"/>
              <w:adjustRightInd w:val="0"/>
              <w:snapToGrid w:val="0"/>
              <w:spacing w:before="156" w:beforeLines="50" w:after="0" w:line="360" w:lineRule="auto"/>
              <w:ind w:left="0" w:leftChars="0"/>
              <w:jc w:val="left"/>
              <w:rPr>
                <w:rFonts w:hint="default" w:ascii="Times New Roman" w:hAnsi="Times New Roman" w:eastAsia="宋体" w:cs="Times New Roman"/>
                <w:color w:val="auto"/>
                <w:spacing w:val="20"/>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注：涉及联合体或其他合同主体的信息应按上表格式加列。</w:t>
            </w:r>
          </w:p>
        </w:tc>
      </w:tr>
    </w:tbl>
    <w:p w14:paraId="7E51DB47">
      <w:pPr>
        <w:keepNext/>
        <w:keepLines/>
        <w:widowControl w:val="0"/>
        <w:adjustRightInd w:val="0"/>
        <w:snapToGrid w:val="0"/>
        <w:spacing w:before="156" w:beforeLines="50" w:line="360" w:lineRule="auto"/>
        <w:jc w:val="center"/>
        <w:outlineLvl w:val="1"/>
        <w:rPr>
          <w:rFonts w:hint="default" w:ascii="Times New Roman" w:hAnsi="Times New Roman" w:eastAsia="黑体" w:cs="Times New Roman"/>
          <w:b/>
          <w:bCs/>
          <w:color w:val="auto"/>
          <w:kern w:val="2"/>
          <w:sz w:val="28"/>
          <w:szCs w:val="28"/>
          <w:highlight w:val="none"/>
          <w:lang w:val="en-US" w:eastAsia="zh-CN" w:bidi="ar-SA"/>
        </w:rPr>
      </w:pPr>
      <w:r>
        <w:rPr>
          <w:rFonts w:hint="default" w:ascii="Times New Roman" w:hAnsi="Times New Roman" w:eastAsia="宋体" w:cs="Times New Roman"/>
          <w:b/>
          <w:bCs/>
          <w:color w:val="auto"/>
          <w:kern w:val="2"/>
          <w:sz w:val="21"/>
          <w:szCs w:val="21"/>
          <w:highlight w:val="none"/>
          <w:u w:val="single"/>
          <w:lang w:val="en-US" w:eastAsia="zh-CN" w:bidi="ar-SA"/>
        </w:rPr>
        <w:br w:type="page"/>
      </w:r>
      <w:bookmarkStart w:id="55" w:name="_Toc27624"/>
      <w:r>
        <w:rPr>
          <w:rFonts w:hint="default" w:ascii="Times New Roman" w:hAnsi="Times New Roman" w:eastAsia="黑体" w:cs="Times New Roman"/>
          <w:b w:val="0"/>
          <w:bCs w:val="0"/>
          <w:color w:val="auto"/>
          <w:kern w:val="2"/>
          <w:sz w:val="28"/>
          <w:szCs w:val="28"/>
          <w:highlight w:val="none"/>
          <w:lang w:val="en-US" w:eastAsia="zh-CN" w:bidi="ar-SA"/>
        </w:rPr>
        <w:t>第二节 政府采购合同通用条款</w:t>
      </w:r>
      <w:bookmarkEnd w:id="55"/>
    </w:p>
    <w:p w14:paraId="67BD0920">
      <w:pPr>
        <w:tabs>
          <w:tab w:val="left" w:pos="8820"/>
          <w:tab w:val="left" w:pos="9345"/>
          <w:tab w:val="left" w:pos="9765"/>
        </w:tabs>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color w:val="auto"/>
          <w:sz w:val="24"/>
          <w:highlight w:val="none"/>
        </w:rPr>
        <w:t>1.</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bCs/>
          <w:color w:val="auto"/>
          <w:sz w:val="24"/>
          <w:highlight w:val="none"/>
        </w:rPr>
        <w:t>定义</w:t>
      </w:r>
    </w:p>
    <w:p w14:paraId="753D46DD">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1.1合同当事人</w:t>
      </w:r>
    </w:p>
    <w:p w14:paraId="14327AE5">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（1）采购人（以下称甲方）是指使用财政性资金，通过政府采购方式向供应商购买货物</w:t>
      </w:r>
      <w:r>
        <w:rPr>
          <w:rFonts w:hint="default" w:ascii="Times New Roman" w:hAnsi="Times New Roman" w:eastAsia="宋体" w:cs="Times New Roman"/>
          <w:color w:val="auto"/>
          <w:szCs w:val="21"/>
          <w:highlight w:val="none"/>
          <w:lang w:val="en-US" w:eastAsia="zh-CN"/>
        </w:rPr>
        <w:t>及其相关服务的</w:t>
      </w:r>
      <w:r>
        <w:rPr>
          <w:rFonts w:hint="default" w:ascii="Times New Roman" w:hAnsi="Times New Roman" w:eastAsia="宋体" w:cs="Times New Roman"/>
          <w:color w:val="auto"/>
          <w:szCs w:val="21"/>
          <w:highlight w:val="none"/>
        </w:rPr>
        <w:t>国家机关、事业单位、团体组织。</w:t>
      </w:r>
    </w:p>
    <w:p w14:paraId="41FDD102">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（2）供应商（以下称</w:t>
      </w:r>
      <w:r>
        <w:rPr>
          <w:rFonts w:hint="default" w:ascii="Times New Roman" w:hAnsi="Times New Roman" w:eastAsia="宋体" w:cs="Times New Roman"/>
          <w:color w:val="auto"/>
          <w:szCs w:val="21"/>
          <w:highlight w:val="none"/>
          <w:lang w:eastAsia="zh-CN"/>
        </w:rPr>
        <w:t>乙</w:t>
      </w:r>
      <w:r>
        <w:rPr>
          <w:rFonts w:hint="default" w:ascii="Times New Roman" w:hAnsi="Times New Roman" w:eastAsia="宋体" w:cs="Times New Roman"/>
          <w:color w:val="auto"/>
          <w:szCs w:val="21"/>
          <w:highlight w:val="none"/>
        </w:rPr>
        <w:t>方）是指参加政府采购活动并且中标（成交），向采购人提供</w:t>
      </w:r>
      <w:r>
        <w:rPr>
          <w:rFonts w:hint="default" w:ascii="Times New Roman" w:hAnsi="Times New Roman" w:eastAsia="宋体" w:cs="Times New Roman"/>
          <w:color w:val="auto"/>
          <w:szCs w:val="21"/>
          <w:highlight w:val="none"/>
          <w:lang w:val="en-US" w:eastAsia="zh-CN"/>
        </w:rPr>
        <w:t>合同约定的货物及其相关服务的法人、非法人组织或者自然人</w:t>
      </w:r>
      <w:r>
        <w:rPr>
          <w:rFonts w:hint="default" w:ascii="Times New Roman" w:hAnsi="Times New Roman" w:eastAsia="宋体" w:cs="Times New Roman"/>
          <w:color w:val="auto"/>
          <w:szCs w:val="21"/>
          <w:highlight w:val="none"/>
        </w:rPr>
        <w:t>。</w:t>
      </w:r>
    </w:p>
    <w:p w14:paraId="2FED091F">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（3）其他合同主体是指除采购人和供应商以外，</w:t>
      </w:r>
      <w:r>
        <w:rPr>
          <w:rFonts w:hint="default" w:ascii="Times New Roman" w:hAnsi="Times New Roman" w:eastAsia="宋体" w:cs="Times New Roman"/>
          <w:bCs/>
          <w:color w:val="auto"/>
          <w:szCs w:val="21"/>
          <w:highlight w:val="none"/>
        </w:rPr>
        <w:t>依法参与合同缔结或履行，享有权利、承担义务的合同当事人</w:t>
      </w:r>
      <w:r>
        <w:rPr>
          <w:rFonts w:hint="default" w:ascii="Times New Roman" w:hAnsi="Times New Roman" w:eastAsia="宋体" w:cs="Times New Roman"/>
          <w:color w:val="auto"/>
          <w:szCs w:val="21"/>
          <w:highlight w:val="none"/>
        </w:rPr>
        <w:t>。</w:t>
      </w:r>
    </w:p>
    <w:p w14:paraId="61B12C9B">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1.2本合同下列术语应解释为：</w:t>
      </w:r>
    </w:p>
    <w:p w14:paraId="157F7CA3">
      <w:pPr>
        <w:adjustRightInd w:val="0"/>
        <w:snapToGrid w:val="0"/>
        <w:spacing w:before="0" w:beforeLines="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（1）“合同”系指</w:t>
      </w:r>
      <w:r>
        <w:rPr>
          <w:rFonts w:hint="default" w:ascii="Times New Roman" w:hAnsi="Times New Roman" w:eastAsia="宋体" w:cs="Times New Roman"/>
          <w:bCs/>
          <w:color w:val="auto"/>
          <w:szCs w:val="21"/>
          <w:highlight w:val="none"/>
        </w:rPr>
        <w:t>合同当事人意思表示达成一致的任何协议，包括签署的</w:t>
      </w:r>
      <w:r>
        <w:rPr>
          <w:rFonts w:hint="default" w:ascii="Times New Roman" w:hAnsi="Times New Roman" w:eastAsia="宋体" w:cs="Times New Roman"/>
          <w:color w:val="auto"/>
          <w:szCs w:val="21"/>
          <w:highlight w:val="none"/>
          <w:lang w:eastAsia="zh-CN"/>
        </w:rPr>
        <w:t>政府采购</w:t>
      </w:r>
      <w:r>
        <w:rPr>
          <w:rFonts w:hint="default" w:ascii="Times New Roman" w:hAnsi="Times New Roman" w:eastAsia="宋体" w:cs="Times New Roman"/>
          <w:color w:val="auto"/>
          <w:szCs w:val="21"/>
          <w:highlight w:val="none"/>
        </w:rPr>
        <w:t>合同协议书及其变更、补充</w:t>
      </w:r>
      <w:r>
        <w:rPr>
          <w:rFonts w:hint="default" w:ascii="Times New Roman" w:hAnsi="Times New Roman" w:eastAsia="宋体" w:cs="Times New Roman"/>
          <w:color w:val="auto"/>
          <w:szCs w:val="21"/>
          <w:highlight w:val="none"/>
          <w:lang w:eastAsia="zh-CN"/>
        </w:rPr>
        <w:t>协议，</w:t>
      </w:r>
      <w:r>
        <w:rPr>
          <w:rFonts w:hint="default" w:ascii="Times New Roman" w:hAnsi="Times New Roman" w:eastAsia="宋体" w:cs="Times New Roman"/>
          <w:color w:val="auto"/>
          <w:szCs w:val="21"/>
          <w:highlight w:val="none"/>
        </w:rPr>
        <w:t>政府采购合同专用条款</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政府采购合同通用条款</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中标</w:t>
      </w:r>
      <w:r>
        <w:rPr>
          <w:rFonts w:hint="default" w:ascii="Times New Roman" w:hAnsi="Times New Roman" w:eastAsia="宋体" w:cs="Times New Roman"/>
          <w:color w:val="auto"/>
          <w:szCs w:val="21"/>
          <w:highlight w:val="none"/>
          <w:lang w:eastAsia="zh-CN"/>
        </w:rPr>
        <w:t>（成交）</w:t>
      </w:r>
      <w:r>
        <w:rPr>
          <w:rFonts w:hint="default" w:ascii="Times New Roman" w:hAnsi="Times New Roman" w:eastAsia="宋体" w:cs="Times New Roman"/>
          <w:color w:val="auto"/>
          <w:szCs w:val="21"/>
          <w:highlight w:val="none"/>
        </w:rPr>
        <w:t>通知书</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投标（响应）文件</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采购文件</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有关技术文件</w:t>
      </w:r>
      <w:r>
        <w:rPr>
          <w:rFonts w:hint="default" w:ascii="Times New Roman" w:hAnsi="Times New Roman" w:eastAsia="宋体" w:cs="Times New Roman"/>
          <w:color w:val="auto"/>
          <w:szCs w:val="21"/>
          <w:highlight w:val="none"/>
          <w:lang w:eastAsia="zh-CN"/>
        </w:rPr>
        <w:t>和</w:t>
      </w:r>
      <w:r>
        <w:rPr>
          <w:rFonts w:hint="default" w:ascii="Times New Roman" w:hAnsi="Times New Roman" w:eastAsia="宋体" w:cs="Times New Roman"/>
          <w:color w:val="auto"/>
          <w:szCs w:val="21"/>
          <w:highlight w:val="none"/>
        </w:rPr>
        <w:t>图纸</w:t>
      </w:r>
      <w:r>
        <w:rPr>
          <w:rFonts w:hint="default" w:ascii="Times New Roman" w:hAnsi="Times New Roman" w:eastAsia="宋体" w:cs="Times New Roman"/>
          <w:color w:val="auto"/>
          <w:szCs w:val="21"/>
          <w:highlight w:val="none"/>
          <w:lang w:eastAsia="zh-CN"/>
        </w:rPr>
        <w:t>，以及</w:t>
      </w:r>
      <w:r>
        <w:rPr>
          <w:rFonts w:hint="default" w:ascii="Times New Roman" w:hAnsi="Times New Roman" w:eastAsia="宋体" w:cs="Times New Roman"/>
          <w:bCs w:val="0"/>
          <w:color w:val="auto"/>
          <w:kern w:val="2"/>
          <w:sz w:val="21"/>
          <w:szCs w:val="21"/>
          <w:highlight w:val="none"/>
          <w:lang w:eastAsia="zh-CN"/>
        </w:rPr>
        <w:t>国家法律、行政法规和规章制度规定或合同约定的作为合同组成部分的其他文件</w:t>
      </w:r>
      <w:r>
        <w:rPr>
          <w:rFonts w:hint="default" w:ascii="Times New Roman" w:hAnsi="Times New Roman" w:eastAsia="宋体" w:cs="Times New Roman"/>
          <w:color w:val="auto"/>
          <w:szCs w:val="21"/>
          <w:highlight w:val="none"/>
        </w:rPr>
        <w:t>。</w:t>
      </w:r>
    </w:p>
    <w:p w14:paraId="211A15A9">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）“合同价</w:t>
      </w:r>
      <w:r>
        <w:rPr>
          <w:rFonts w:hint="default" w:ascii="Times New Roman" w:hAnsi="Times New Roman" w:eastAsia="宋体" w:cs="Times New Roman"/>
          <w:color w:val="auto"/>
          <w:szCs w:val="21"/>
          <w:highlight w:val="none"/>
          <w:lang w:val="en-US" w:eastAsia="zh-CN"/>
        </w:rPr>
        <w:t>款</w:t>
      </w:r>
      <w:r>
        <w:rPr>
          <w:rFonts w:hint="default" w:ascii="Times New Roman" w:hAnsi="Times New Roman" w:eastAsia="宋体" w:cs="Times New Roman"/>
          <w:color w:val="auto"/>
          <w:szCs w:val="21"/>
          <w:highlight w:val="none"/>
        </w:rPr>
        <w:t>”系指根据本合同规定乙方在全面履行合同义务后甲方应支付给乙方的价款。</w:t>
      </w:r>
    </w:p>
    <w:p w14:paraId="110BD195">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）“货物”系指乙方根据本合同规定须向甲方提供的各种形态和种类的物品，包括原材料、设备、产品（包括软件）及相关的其备品备件、工具、手册及</w:t>
      </w:r>
      <w:r>
        <w:rPr>
          <w:rFonts w:hint="default" w:ascii="Times New Roman" w:hAnsi="Times New Roman" w:eastAsia="宋体" w:cs="Times New Roman"/>
          <w:color w:val="auto"/>
          <w:szCs w:val="21"/>
          <w:highlight w:val="none"/>
          <w:lang w:val="en"/>
        </w:rPr>
        <w:t>其他</w:t>
      </w:r>
      <w:r>
        <w:rPr>
          <w:rFonts w:hint="default" w:ascii="Times New Roman" w:hAnsi="Times New Roman" w:eastAsia="宋体" w:cs="Times New Roman"/>
          <w:color w:val="auto"/>
          <w:szCs w:val="21"/>
          <w:highlight w:val="none"/>
        </w:rPr>
        <w:t>技术资料和材料</w:t>
      </w:r>
      <w:r>
        <w:rPr>
          <w:rFonts w:hint="default" w:ascii="Times New Roman" w:hAnsi="Times New Roman" w:eastAsia="宋体" w:cs="Times New Roman"/>
          <w:color w:val="auto"/>
          <w:szCs w:val="21"/>
          <w:highlight w:val="none"/>
          <w:lang w:eastAsia="zh-CN"/>
        </w:rPr>
        <w:t>等</w:t>
      </w:r>
      <w:r>
        <w:rPr>
          <w:rFonts w:hint="default" w:ascii="Times New Roman" w:hAnsi="Times New Roman" w:eastAsia="宋体" w:cs="Times New Roman"/>
          <w:color w:val="auto"/>
          <w:szCs w:val="21"/>
          <w:highlight w:val="none"/>
        </w:rPr>
        <w:t>。</w:t>
      </w:r>
    </w:p>
    <w:p w14:paraId="60F1A0F7">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相关</w:t>
      </w:r>
      <w:r>
        <w:rPr>
          <w:rFonts w:hint="default" w:ascii="Times New Roman" w:hAnsi="Times New Roman" w:eastAsia="宋体" w:cs="Times New Roman"/>
          <w:color w:val="auto"/>
          <w:szCs w:val="21"/>
          <w:highlight w:val="none"/>
        </w:rPr>
        <w:t>服务”系指根据合同规定，乙方应提供的</w:t>
      </w:r>
      <w:r>
        <w:rPr>
          <w:rFonts w:hint="default" w:ascii="Times New Roman" w:hAnsi="Times New Roman" w:eastAsia="宋体" w:cs="Times New Roman"/>
          <w:color w:val="auto"/>
          <w:szCs w:val="21"/>
          <w:highlight w:val="none"/>
          <w:lang w:val="en-US" w:eastAsia="zh-CN"/>
        </w:rPr>
        <w:t>与货物有关的</w:t>
      </w:r>
      <w:r>
        <w:rPr>
          <w:rFonts w:hint="default" w:ascii="Times New Roman" w:hAnsi="Times New Roman" w:eastAsia="宋体" w:cs="Times New Roman"/>
          <w:color w:val="auto"/>
          <w:szCs w:val="21"/>
          <w:highlight w:val="none"/>
        </w:rPr>
        <w:t>技术、管理和</w:t>
      </w:r>
      <w:r>
        <w:rPr>
          <w:rFonts w:hint="default" w:ascii="Times New Roman" w:hAnsi="Times New Roman" w:eastAsia="宋体" w:cs="Times New Roman"/>
          <w:color w:val="auto"/>
          <w:szCs w:val="21"/>
          <w:highlight w:val="none"/>
          <w:lang w:val="en"/>
        </w:rPr>
        <w:t>其他</w:t>
      </w:r>
      <w:r>
        <w:rPr>
          <w:rFonts w:hint="default" w:ascii="Times New Roman" w:hAnsi="Times New Roman" w:eastAsia="宋体" w:cs="Times New Roman"/>
          <w:color w:val="auto"/>
          <w:szCs w:val="21"/>
          <w:highlight w:val="none"/>
        </w:rPr>
        <w:t>服务，包括但不限于：管理和质量保证、运输、保险、检验、现场准备、安装、集成、调试、培训、维修、</w:t>
      </w:r>
      <w:r>
        <w:rPr>
          <w:rFonts w:hint="default" w:ascii="Times New Roman" w:hAnsi="Times New Roman" w:eastAsia="宋体" w:cs="Times New Roman"/>
          <w:color w:val="auto"/>
          <w:szCs w:val="21"/>
          <w:highlight w:val="none"/>
          <w:lang w:eastAsia="zh-CN"/>
        </w:rPr>
        <w:t>废弃处置、</w:t>
      </w:r>
      <w:r>
        <w:rPr>
          <w:rFonts w:hint="default" w:ascii="Times New Roman" w:hAnsi="Times New Roman" w:eastAsia="宋体" w:cs="Times New Roman"/>
          <w:color w:val="auto"/>
          <w:szCs w:val="21"/>
          <w:highlight w:val="none"/>
        </w:rPr>
        <w:t>技术支持等以及合同中规定乙方应承担的</w:t>
      </w:r>
      <w:r>
        <w:rPr>
          <w:rFonts w:hint="default" w:ascii="Times New Roman" w:hAnsi="Times New Roman" w:eastAsia="宋体" w:cs="Times New Roman"/>
          <w:color w:val="auto"/>
          <w:szCs w:val="21"/>
          <w:highlight w:val="none"/>
          <w:lang w:val="en"/>
        </w:rPr>
        <w:t>其他</w:t>
      </w:r>
      <w:r>
        <w:rPr>
          <w:rFonts w:hint="default" w:ascii="Times New Roman" w:hAnsi="Times New Roman" w:eastAsia="宋体" w:cs="Times New Roman"/>
          <w:color w:val="auto"/>
          <w:szCs w:val="21"/>
          <w:highlight w:val="none"/>
        </w:rPr>
        <w:t>义务。</w:t>
      </w:r>
    </w:p>
    <w:p w14:paraId="7CA95B8A">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）“分包”系指中标</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成交</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供应商按采购文件、投标（响应）文件的规定，根据分包意向协议，将中标</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成交</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项目中的部分履约内容，分给具有相应资质条件的供应商履行合同的行为。</w:t>
      </w:r>
    </w:p>
    <w:p w14:paraId="55C10382">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）“联合体”系指</w:t>
      </w:r>
      <w:r>
        <w:rPr>
          <w:rFonts w:hint="default" w:ascii="Times New Roman" w:hAnsi="Times New Roman" w:eastAsia="宋体" w:cs="Times New Roman"/>
          <w:color w:val="auto"/>
          <w:szCs w:val="21"/>
          <w:highlight w:val="none"/>
          <w:lang w:eastAsia="zh-CN"/>
        </w:rPr>
        <w:t>由</w:t>
      </w:r>
      <w:r>
        <w:rPr>
          <w:rFonts w:hint="default" w:ascii="Times New Roman" w:hAnsi="Times New Roman" w:eastAsia="宋体" w:cs="Times New Roman"/>
          <w:color w:val="auto"/>
          <w:szCs w:val="21"/>
          <w:highlight w:val="none"/>
        </w:rPr>
        <w:t>两个以上的自然人、法人或者</w:t>
      </w:r>
      <w:r>
        <w:rPr>
          <w:rFonts w:hint="default" w:ascii="Times New Roman" w:hAnsi="Times New Roman" w:eastAsia="宋体" w:cs="Times New Roman"/>
          <w:color w:val="auto"/>
          <w:szCs w:val="21"/>
          <w:highlight w:val="none"/>
          <w:lang w:val="en-US" w:eastAsia="zh-CN"/>
        </w:rPr>
        <w:t>非法人</w:t>
      </w:r>
      <w:r>
        <w:rPr>
          <w:rFonts w:hint="default" w:ascii="Times New Roman" w:hAnsi="Times New Roman" w:eastAsia="宋体" w:cs="Times New Roman"/>
          <w:color w:val="auto"/>
          <w:szCs w:val="21"/>
          <w:highlight w:val="none"/>
        </w:rPr>
        <w:t>组织组成，</w:t>
      </w:r>
      <w:r>
        <w:rPr>
          <w:rFonts w:hint="default" w:ascii="Times New Roman" w:hAnsi="Times New Roman" w:eastAsia="宋体" w:cs="Times New Roman"/>
          <w:color w:val="auto"/>
          <w:szCs w:val="21"/>
          <w:highlight w:val="none"/>
          <w:lang w:eastAsia="zh-CN"/>
        </w:rPr>
        <w:t>以一个供应商的身份共同参加政府采购的主体。</w:t>
      </w:r>
      <w:r>
        <w:rPr>
          <w:rFonts w:hint="default" w:ascii="Times New Roman" w:hAnsi="Times New Roman" w:eastAsia="宋体" w:cs="Times New Roman"/>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default" w:ascii="Times New Roman" w:hAnsi="Times New Roman" w:eastAsia="宋体" w:cs="Times New Roman"/>
          <w:color w:val="auto"/>
          <w:szCs w:val="21"/>
          <w:highlight w:val="none"/>
          <w:lang w:eastAsia="zh-CN"/>
        </w:rPr>
        <w:t>甲方</w:t>
      </w:r>
      <w:r>
        <w:rPr>
          <w:rFonts w:hint="default" w:ascii="Times New Roman" w:hAnsi="Times New Roman" w:eastAsia="宋体" w:cs="Times New Roman"/>
          <w:color w:val="auto"/>
          <w:szCs w:val="21"/>
          <w:highlight w:val="none"/>
        </w:rPr>
        <w:t>承担连带责任。联合体具体要求见【</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w:t>
      </w:r>
    </w:p>
    <w:p w14:paraId="3D6E9BD2">
      <w:pPr>
        <w:tabs>
          <w:tab w:val="left" w:pos="570"/>
          <w:tab w:val="left" w:pos="9240"/>
          <w:tab w:val="left" w:pos="9555"/>
        </w:tabs>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）其他术语解释，见【</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w:t>
      </w:r>
    </w:p>
    <w:p w14:paraId="73558D14">
      <w:pPr>
        <w:numPr>
          <w:ilvl w:val="0"/>
          <w:numId w:val="6"/>
        </w:num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color w:val="auto"/>
          <w:sz w:val="24"/>
          <w:highlight w:val="none"/>
        </w:rPr>
        <w:t>合同标的及金额</w:t>
      </w:r>
    </w:p>
    <w:p w14:paraId="34C9A04B">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b/>
          <w:bCs/>
          <w:i/>
          <w:iCs/>
          <w:color w:val="auto"/>
          <w:szCs w:val="21"/>
          <w:highlight w:val="none"/>
        </w:rPr>
      </w:pPr>
      <w:r>
        <w:rPr>
          <w:rFonts w:hint="default" w:ascii="Times New Roman" w:hAnsi="Times New Roman" w:eastAsia="宋体" w:cs="Times New Roman"/>
          <w:color w:val="auto"/>
          <w:szCs w:val="21"/>
          <w:highlight w:val="none"/>
          <w:lang w:eastAsia="zh-CN"/>
        </w:rPr>
        <w:t>2</w:t>
      </w:r>
      <w:r>
        <w:rPr>
          <w:rFonts w:hint="default" w:ascii="Times New Roman" w:hAnsi="Times New Roman" w:eastAsia="宋体" w:cs="Times New Roman"/>
          <w:color w:val="auto"/>
          <w:szCs w:val="21"/>
          <w:highlight w:val="none"/>
        </w:rPr>
        <w:t>.1 合同标的及金额应与中标（成交）结果一致。乙方为履行本合同而发生的所有费用均应包含在合同</w:t>
      </w:r>
      <w:r>
        <w:rPr>
          <w:rFonts w:hint="default" w:ascii="Times New Roman" w:hAnsi="Times New Roman" w:eastAsia="宋体" w:cs="Times New Roman"/>
          <w:color w:val="auto"/>
          <w:szCs w:val="21"/>
          <w:highlight w:val="none"/>
          <w:lang w:eastAsia="zh-CN"/>
        </w:rPr>
        <w:t>价款</w:t>
      </w:r>
      <w:r>
        <w:rPr>
          <w:rFonts w:hint="default" w:ascii="Times New Roman" w:hAnsi="Times New Roman" w:eastAsia="宋体" w:cs="Times New Roman"/>
          <w:color w:val="auto"/>
          <w:szCs w:val="21"/>
          <w:highlight w:val="none"/>
        </w:rPr>
        <w:t>中，甲方不再另行支付</w:t>
      </w:r>
      <w:r>
        <w:rPr>
          <w:rFonts w:hint="default" w:ascii="Times New Roman" w:hAnsi="Times New Roman" w:eastAsia="宋体" w:cs="Times New Roman"/>
          <w:color w:val="auto"/>
          <w:szCs w:val="21"/>
          <w:highlight w:val="none"/>
          <w:lang w:val="en"/>
        </w:rPr>
        <w:t>其他</w:t>
      </w:r>
      <w:r>
        <w:rPr>
          <w:rFonts w:hint="default" w:ascii="Times New Roman" w:hAnsi="Times New Roman" w:eastAsia="宋体" w:cs="Times New Roman"/>
          <w:color w:val="auto"/>
          <w:szCs w:val="21"/>
          <w:highlight w:val="none"/>
        </w:rPr>
        <w:t>任何费用。</w:t>
      </w:r>
    </w:p>
    <w:p w14:paraId="28622D15">
      <w:pPr>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3</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履行合同的时间、地点和方式</w:t>
      </w:r>
    </w:p>
    <w:p w14:paraId="55386E9E">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.1 乙方应当在约定的时间、地点</w:t>
      </w:r>
      <w:r>
        <w:rPr>
          <w:rFonts w:hint="default" w:ascii="Times New Roman" w:hAnsi="Times New Roman" w:eastAsia="宋体" w:cs="Times New Roman"/>
          <w:color w:val="auto"/>
          <w:szCs w:val="21"/>
          <w:highlight w:val="none"/>
          <w:lang w:eastAsia="zh-CN"/>
        </w:rPr>
        <w:t>，按照约定</w:t>
      </w:r>
      <w:r>
        <w:rPr>
          <w:rFonts w:hint="default" w:ascii="Times New Roman" w:hAnsi="Times New Roman" w:eastAsia="宋体" w:cs="Times New Roman"/>
          <w:color w:val="auto"/>
          <w:szCs w:val="21"/>
          <w:highlight w:val="none"/>
        </w:rPr>
        <w:t>方式履行合同。</w:t>
      </w:r>
    </w:p>
    <w:p w14:paraId="3AA8A3E7">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4</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甲方的权利和义务</w:t>
      </w:r>
    </w:p>
    <w:p w14:paraId="719F4B58">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.1 签署合同后，甲方</w:t>
      </w:r>
      <w:r>
        <w:rPr>
          <w:rFonts w:hint="default" w:ascii="Times New Roman" w:hAnsi="Times New Roman" w:eastAsia="宋体" w:cs="Times New Roman"/>
          <w:color w:val="auto"/>
          <w:szCs w:val="21"/>
          <w:highlight w:val="none"/>
          <w:lang w:eastAsia="zh-CN"/>
        </w:rPr>
        <w:t>应</w:t>
      </w:r>
      <w:r>
        <w:rPr>
          <w:rFonts w:hint="default" w:ascii="Times New Roman" w:hAnsi="Times New Roman" w:eastAsia="宋体" w:cs="Times New Roman"/>
          <w:color w:val="auto"/>
          <w:szCs w:val="21"/>
          <w:highlight w:val="none"/>
        </w:rPr>
        <w:t>确定</w:t>
      </w:r>
      <w:r>
        <w:rPr>
          <w:rFonts w:hint="default" w:ascii="Times New Roman" w:hAnsi="Times New Roman" w:eastAsia="宋体" w:cs="Times New Roman"/>
          <w:color w:val="auto"/>
          <w:szCs w:val="21"/>
          <w:highlight w:val="none"/>
          <w:lang w:val="en-US" w:eastAsia="zh-CN"/>
        </w:rPr>
        <w:t>项目负责人（或项目联系人）</w:t>
      </w:r>
      <w:r>
        <w:rPr>
          <w:rFonts w:hint="default" w:ascii="Times New Roman" w:hAnsi="Times New Roman" w:eastAsia="宋体" w:cs="Times New Roman"/>
          <w:color w:val="auto"/>
          <w:szCs w:val="21"/>
          <w:highlight w:val="none"/>
        </w:rPr>
        <w:t>，负责与本合同有关的事务。甲方有权对乙方的履约行为进行检查，并及时确认乙方提交的事项。甲方应当配合乙方完成相关项目实施工作。</w:t>
      </w:r>
    </w:p>
    <w:p w14:paraId="79725243">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50DBB631">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.3 甲方有权要求乙方对缺陷部分予以修复，并按合同约定享有货物保修及其他合同约定的权利。</w:t>
      </w:r>
    </w:p>
    <w:p w14:paraId="2F51EF04">
      <w:pPr>
        <w:snapToGrid w:val="0"/>
        <w:spacing w:line="400" w:lineRule="exact"/>
        <w:ind w:firstLine="420" w:firstLineChars="200"/>
        <w:rPr>
          <w:rFonts w:hint="default" w:ascii="Times New Roman" w:hAnsi="Times New Roman" w:eastAsia="华文楷体"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4.4 甲方应当按照合同约定及时对交付的货物进行验收，</w:t>
      </w:r>
      <w:r>
        <w:rPr>
          <w:rFonts w:hint="default" w:ascii="Times New Roman" w:hAnsi="Times New Roman" w:eastAsia="宋体" w:cs="Times New Roman"/>
          <w:b w:val="0"/>
          <w:bCs w:val="0"/>
          <w:color w:val="auto"/>
          <w:szCs w:val="21"/>
          <w:highlight w:val="none"/>
          <w:lang w:eastAsia="zh-CN"/>
        </w:rPr>
        <w:t>未</w:t>
      </w:r>
      <w:r>
        <w:rPr>
          <w:rFonts w:hint="default" w:ascii="Times New Roman" w:hAnsi="Times New Roman" w:eastAsia="宋体" w:cs="Times New Roman"/>
          <w:color w:val="auto"/>
          <w:szCs w:val="21"/>
          <w:highlight w:val="none"/>
          <w:lang w:val="en-US" w:eastAsia="zh-CN"/>
        </w:rPr>
        <w:t>在</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b w:val="0"/>
          <w:bCs w:val="0"/>
          <w:color w:val="auto"/>
          <w:szCs w:val="21"/>
          <w:highlight w:val="none"/>
          <w:lang w:eastAsia="zh-CN"/>
        </w:rPr>
        <w:t>约定的期限内对乙方履约提出任何异议或者向乙方作出任何说明的，</w:t>
      </w:r>
      <w:r>
        <w:rPr>
          <w:rFonts w:hint="default" w:ascii="Times New Roman" w:hAnsi="Times New Roman" w:eastAsia="宋体" w:cs="Times New Roman"/>
          <w:color w:val="auto"/>
          <w:szCs w:val="21"/>
          <w:highlight w:val="none"/>
          <w:lang w:val="en-US" w:eastAsia="zh-CN"/>
        </w:rPr>
        <w:t>视为验收通过。</w:t>
      </w:r>
    </w:p>
    <w:p w14:paraId="61294AE0">
      <w:pPr>
        <w:autoSpaceDE w:val="0"/>
        <w:autoSpaceDN w:val="0"/>
        <w:adjustRightInd w:val="0"/>
        <w:snapToGrid w:val="0"/>
        <w:spacing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 xml:space="preserve"> 甲方应当根据合同约定</w:t>
      </w:r>
      <w:r>
        <w:rPr>
          <w:rFonts w:hint="default" w:ascii="Times New Roman" w:hAnsi="Times New Roman" w:eastAsia="宋体" w:cs="Times New Roman"/>
          <w:color w:val="auto"/>
          <w:szCs w:val="21"/>
          <w:highlight w:val="none"/>
          <w:lang w:eastAsia="zh-CN"/>
        </w:rPr>
        <w:t>及</w:t>
      </w:r>
      <w:r>
        <w:rPr>
          <w:rFonts w:hint="default" w:ascii="Times New Roman" w:hAnsi="Times New Roman" w:eastAsia="宋体" w:cs="Times New Roman"/>
          <w:color w:val="auto"/>
          <w:szCs w:val="21"/>
          <w:highlight w:val="none"/>
        </w:rPr>
        <w:t>时向乙方支付</w:t>
      </w:r>
      <w:r>
        <w:rPr>
          <w:rFonts w:hint="default" w:ascii="Times New Roman" w:hAnsi="Times New Roman" w:eastAsia="宋体" w:cs="Times New Roman"/>
          <w:color w:val="auto"/>
          <w:szCs w:val="21"/>
          <w:highlight w:val="none"/>
          <w:lang w:eastAsia="zh-CN"/>
        </w:rPr>
        <w:t>合同价款，不得以内部人员变更、履行内部付款流程等为由，拒绝或迟延支付。</w:t>
      </w:r>
    </w:p>
    <w:p w14:paraId="5A62CF1D">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国家法律法规规定</w:t>
      </w:r>
      <w:r>
        <w:rPr>
          <w:rFonts w:hint="default" w:ascii="Times New Roman" w:hAnsi="Times New Roman" w:eastAsia="宋体" w:cs="Times New Roman"/>
          <w:color w:val="auto"/>
          <w:szCs w:val="21"/>
          <w:highlight w:val="none"/>
          <w:lang w:eastAsia="zh-CN"/>
        </w:rPr>
        <w:t>及</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lang w:eastAsia="zh-CN"/>
        </w:rPr>
        <w:t>约定应</w:t>
      </w:r>
      <w:r>
        <w:rPr>
          <w:rFonts w:hint="default" w:ascii="Times New Roman" w:hAnsi="Times New Roman" w:eastAsia="宋体" w:cs="Times New Roman"/>
          <w:color w:val="auto"/>
          <w:szCs w:val="21"/>
          <w:highlight w:val="none"/>
        </w:rPr>
        <w:t>由甲方承担的其他义务和责任。</w:t>
      </w:r>
    </w:p>
    <w:p w14:paraId="5CEC7014">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5</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乙方的权利和义务</w:t>
      </w:r>
    </w:p>
    <w:p w14:paraId="3565C21A">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.1 签署合同后，乙方</w:t>
      </w:r>
      <w:r>
        <w:rPr>
          <w:rFonts w:hint="default" w:ascii="Times New Roman" w:hAnsi="Times New Roman" w:eastAsia="宋体" w:cs="Times New Roman"/>
          <w:color w:val="auto"/>
          <w:szCs w:val="21"/>
          <w:highlight w:val="none"/>
          <w:lang w:eastAsia="zh-CN"/>
        </w:rPr>
        <w:t>应</w:t>
      </w:r>
      <w:r>
        <w:rPr>
          <w:rFonts w:hint="default" w:ascii="Times New Roman" w:hAnsi="Times New Roman" w:eastAsia="宋体" w:cs="Times New Roman"/>
          <w:color w:val="auto"/>
          <w:szCs w:val="21"/>
          <w:highlight w:val="none"/>
        </w:rPr>
        <w:t>确定</w:t>
      </w:r>
      <w:r>
        <w:rPr>
          <w:rFonts w:hint="default" w:ascii="Times New Roman" w:hAnsi="Times New Roman" w:eastAsia="宋体" w:cs="Times New Roman"/>
          <w:color w:val="auto"/>
          <w:szCs w:val="21"/>
          <w:highlight w:val="none"/>
          <w:lang w:val="en-US" w:eastAsia="zh-CN"/>
        </w:rPr>
        <w:t>项目负责人（或项目联系人）</w:t>
      </w:r>
      <w:r>
        <w:rPr>
          <w:rFonts w:hint="default" w:ascii="Times New Roman" w:hAnsi="Times New Roman" w:eastAsia="宋体" w:cs="Times New Roman"/>
          <w:color w:val="auto"/>
          <w:szCs w:val="21"/>
          <w:highlight w:val="none"/>
        </w:rPr>
        <w:t>，负责与本合同有关的事务。</w:t>
      </w:r>
    </w:p>
    <w:p w14:paraId="7B4E65D4">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.2 乙方应按照合同要求履约，充分合理安排，确保提供的货物</w:t>
      </w:r>
      <w:r>
        <w:rPr>
          <w:rFonts w:hint="default" w:ascii="Times New Roman" w:hAnsi="Times New Roman" w:eastAsia="宋体" w:cs="Times New Roman"/>
          <w:color w:val="auto"/>
          <w:szCs w:val="21"/>
          <w:highlight w:val="none"/>
          <w:lang w:eastAsia="zh-CN"/>
        </w:rPr>
        <w:t>及相关</w:t>
      </w:r>
      <w:r>
        <w:rPr>
          <w:rFonts w:hint="default" w:ascii="Times New Roman" w:hAnsi="Times New Roman" w:eastAsia="宋体" w:cs="Times New Roman"/>
          <w:color w:val="auto"/>
          <w:szCs w:val="21"/>
          <w:highlight w:val="none"/>
        </w:rPr>
        <w:t>服务符合合同</w:t>
      </w:r>
      <w:r>
        <w:rPr>
          <w:rFonts w:hint="default" w:ascii="Times New Roman" w:hAnsi="Times New Roman" w:eastAsia="宋体" w:cs="Times New Roman"/>
          <w:color w:val="auto"/>
          <w:szCs w:val="21"/>
          <w:highlight w:val="none"/>
          <w:lang w:eastAsia="zh-CN"/>
        </w:rPr>
        <w:t>有关</w:t>
      </w:r>
      <w:r>
        <w:rPr>
          <w:rFonts w:hint="default" w:ascii="Times New Roman" w:hAnsi="Times New Roman" w:eastAsia="宋体" w:cs="Times New Roman"/>
          <w:color w:val="auto"/>
          <w:szCs w:val="21"/>
          <w:highlight w:val="none"/>
        </w:rPr>
        <w:t>要求。接受项目行业管理部门及政府有关部门的指导，配合甲方的履约检查</w:t>
      </w:r>
      <w:r>
        <w:rPr>
          <w:rFonts w:hint="default" w:ascii="Times New Roman" w:hAnsi="Times New Roman" w:eastAsia="宋体" w:cs="Times New Roman"/>
          <w:color w:val="auto"/>
          <w:szCs w:val="21"/>
          <w:highlight w:val="none"/>
          <w:lang w:eastAsia="zh-CN"/>
        </w:rPr>
        <w:t>及验收</w:t>
      </w:r>
      <w:r>
        <w:rPr>
          <w:rFonts w:hint="default" w:ascii="Times New Roman" w:hAnsi="Times New Roman" w:eastAsia="宋体" w:cs="Times New Roman"/>
          <w:color w:val="auto"/>
          <w:szCs w:val="21"/>
          <w:highlight w:val="none"/>
        </w:rPr>
        <w:t>，并负责项目实施过程中的所有协调工作。</w:t>
      </w:r>
    </w:p>
    <w:p w14:paraId="28C04713">
      <w:pPr>
        <w:widowControl w:val="0"/>
        <w:spacing w:after="0" w:line="400" w:lineRule="exact"/>
        <w:ind w:firstLine="369" w:firstLineChars="176"/>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5.3乙方有权根据合同约定向甲方收取合同价款。</w:t>
      </w:r>
    </w:p>
    <w:p w14:paraId="11233D2E">
      <w:pPr>
        <w:widowControl w:val="0"/>
        <w:spacing w:after="0" w:line="400" w:lineRule="exact"/>
        <w:ind w:firstLine="369" w:firstLineChars="176"/>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5.4国家法律法规规定及</w:t>
      </w:r>
      <w:r>
        <w:rPr>
          <w:rFonts w:hint="default" w:ascii="Times New Roman" w:hAnsi="Times New Roman" w:eastAsia="宋体" w:cs="Times New Roman"/>
          <w:b/>
          <w:bCs/>
          <w:color w:val="auto"/>
          <w:kern w:val="2"/>
          <w:sz w:val="21"/>
          <w:szCs w:val="21"/>
          <w:highlight w:val="none"/>
          <w:lang w:val="en-US" w:eastAsia="zh-CN" w:bidi="ar-SA"/>
        </w:rPr>
        <w:t>【政府采购合同专用条款】</w:t>
      </w:r>
      <w:r>
        <w:rPr>
          <w:rFonts w:hint="default" w:ascii="Times New Roman" w:hAnsi="Times New Roman" w:eastAsia="宋体" w:cs="Times New Roman"/>
          <w:b w:val="0"/>
          <w:bCs w:val="0"/>
          <w:color w:val="auto"/>
          <w:kern w:val="2"/>
          <w:sz w:val="21"/>
          <w:szCs w:val="21"/>
          <w:highlight w:val="none"/>
          <w:lang w:val="en-US" w:eastAsia="zh-CN" w:bidi="ar-SA"/>
        </w:rPr>
        <w:t>约定应</w:t>
      </w:r>
      <w:r>
        <w:rPr>
          <w:rFonts w:hint="default" w:ascii="Times New Roman" w:hAnsi="Times New Roman" w:eastAsia="宋体" w:cs="Times New Roman"/>
          <w:color w:val="auto"/>
          <w:kern w:val="2"/>
          <w:sz w:val="21"/>
          <w:szCs w:val="21"/>
          <w:highlight w:val="none"/>
          <w:lang w:val="en-US" w:eastAsia="zh-CN" w:bidi="ar-SA"/>
        </w:rPr>
        <w:t>由乙方承担的其他义务和责任。</w:t>
      </w:r>
    </w:p>
    <w:p w14:paraId="147EC43A">
      <w:pPr>
        <w:numPr>
          <w:ilvl w:val="0"/>
          <w:numId w:val="7"/>
        </w:num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合同履</w:t>
      </w:r>
      <w:r>
        <w:rPr>
          <w:rFonts w:hint="default" w:ascii="Times New Roman" w:hAnsi="Times New Roman" w:eastAsia="宋体" w:cs="Times New Roman"/>
          <w:b/>
          <w:bCs/>
          <w:color w:val="auto"/>
          <w:sz w:val="24"/>
          <w:highlight w:val="none"/>
          <w:lang w:val="en-US" w:eastAsia="zh-CN"/>
        </w:rPr>
        <w:t>行</w:t>
      </w:r>
    </w:p>
    <w:p w14:paraId="174194DF">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6</w:t>
      </w:r>
      <w:r>
        <w:rPr>
          <w:rFonts w:hint="default" w:ascii="Times New Roman" w:hAnsi="Times New Roman" w:eastAsia="宋体" w:cs="Times New Roman"/>
          <w:color w:val="auto"/>
          <w:szCs w:val="21"/>
          <w:highlight w:val="none"/>
        </w:rPr>
        <w:t>.1 甲乙双方应当按照</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约定顺序履行合同义务；如果没有先后顺序的，应当同时履行。</w:t>
      </w:r>
    </w:p>
    <w:p w14:paraId="5D9D8EC2">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lang w:eastAsia="zh-CN"/>
        </w:rPr>
        <w:t>6</w:t>
      </w:r>
      <w:r>
        <w:rPr>
          <w:rFonts w:hint="default" w:ascii="Times New Roman" w:hAnsi="Times New Roman" w:eastAsia="宋体" w:cs="Times New Roman"/>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A4F2A3C">
      <w:pPr>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7</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货物包装、运输</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保险</w:t>
      </w:r>
      <w:r>
        <w:rPr>
          <w:rFonts w:hint="default" w:ascii="Times New Roman" w:hAnsi="Times New Roman" w:eastAsia="宋体" w:cs="Times New Roman"/>
          <w:b/>
          <w:bCs/>
          <w:color w:val="auto"/>
          <w:sz w:val="24"/>
          <w:highlight w:val="none"/>
          <w:lang w:eastAsia="zh-CN"/>
        </w:rPr>
        <w:t>和交付</w:t>
      </w:r>
      <w:r>
        <w:rPr>
          <w:rFonts w:hint="default" w:ascii="Times New Roman" w:hAnsi="Times New Roman" w:eastAsia="宋体" w:cs="Times New Roman"/>
          <w:b/>
          <w:bCs/>
          <w:color w:val="auto"/>
          <w:sz w:val="24"/>
          <w:highlight w:val="none"/>
        </w:rPr>
        <w:t>要求</w:t>
      </w:r>
    </w:p>
    <w:p w14:paraId="63E3102A">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.1 本合同</w:t>
      </w:r>
      <w:r>
        <w:rPr>
          <w:rFonts w:hint="default" w:ascii="Times New Roman" w:hAnsi="Times New Roman" w:eastAsia="宋体" w:cs="Times New Roman"/>
          <w:bCs/>
          <w:color w:val="auto"/>
          <w:szCs w:val="21"/>
          <w:highlight w:val="none"/>
        </w:rPr>
        <w:t>涉及商品包装</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快递包装的，</w:t>
      </w:r>
      <w:r>
        <w:rPr>
          <w:rFonts w:hint="default" w:ascii="Times New Roman" w:hAnsi="Times New Roman" w:eastAsia="宋体" w:cs="Times New Roman"/>
          <w:color w:val="auto"/>
          <w:szCs w:val="21"/>
          <w:highlight w:val="none"/>
        </w:rPr>
        <w:t>除</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Cs/>
          <w:color w:val="auto"/>
          <w:szCs w:val="21"/>
          <w:highlight w:val="none"/>
        </w:rPr>
        <w:t>另有</w:t>
      </w:r>
      <w:r>
        <w:rPr>
          <w:rFonts w:hint="default" w:ascii="Times New Roman" w:hAnsi="Times New Roman" w:eastAsia="宋体" w:cs="Times New Roman"/>
          <w:bCs/>
          <w:color w:val="auto"/>
          <w:szCs w:val="21"/>
          <w:highlight w:val="none"/>
          <w:lang w:eastAsia="zh-CN"/>
        </w:rPr>
        <w:t>约</w:t>
      </w:r>
      <w:r>
        <w:rPr>
          <w:rFonts w:hint="default" w:ascii="Times New Roman" w:hAnsi="Times New Roman" w:eastAsia="宋体" w:cs="Times New Roman"/>
          <w:bCs/>
          <w:color w:val="auto"/>
          <w:szCs w:val="21"/>
          <w:highlight w:val="none"/>
        </w:rPr>
        <w:t>定</w:t>
      </w:r>
      <w:r>
        <w:rPr>
          <w:rFonts w:hint="default" w:ascii="Times New Roman" w:hAnsi="Times New Roman" w:eastAsia="宋体" w:cs="Times New Roman"/>
          <w:bCs/>
          <w:color w:val="auto"/>
          <w:szCs w:val="21"/>
          <w:highlight w:val="none"/>
          <w:lang w:eastAsia="zh-CN"/>
        </w:rPr>
        <w:t>外</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Cs w:val="21"/>
          <w:highlight w:val="none"/>
        </w:rPr>
        <w:t>包装应适应远距离运输、防潮、防震、防锈和防野蛮装卸等要求，确保货物安全无损地运抵</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 w:val="0"/>
          <w:bCs/>
          <w:color w:val="auto"/>
          <w:szCs w:val="21"/>
          <w:highlight w:val="none"/>
          <w:lang w:eastAsia="zh-CN"/>
        </w:rPr>
        <w:t>约定的</w:t>
      </w:r>
      <w:r>
        <w:rPr>
          <w:rFonts w:hint="default" w:ascii="Times New Roman" w:hAnsi="Times New Roman" w:eastAsia="宋体" w:cs="Times New Roman"/>
          <w:color w:val="auto"/>
          <w:szCs w:val="21"/>
          <w:highlight w:val="none"/>
        </w:rPr>
        <w:t>指定现场。</w:t>
      </w:r>
    </w:p>
    <w:p w14:paraId="5FF89579">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.2 除</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Cs/>
          <w:color w:val="auto"/>
          <w:szCs w:val="21"/>
          <w:highlight w:val="none"/>
        </w:rPr>
        <w:t>另有</w:t>
      </w:r>
      <w:r>
        <w:rPr>
          <w:rFonts w:hint="default" w:ascii="Times New Roman" w:hAnsi="Times New Roman" w:eastAsia="宋体" w:cs="Times New Roman"/>
          <w:bCs/>
          <w:color w:val="auto"/>
          <w:szCs w:val="21"/>
          <w:highlight w:val="none"/>
          <w:lang w:eastAsia="zh-CN"/>
        </w:rPr>
        <w:t>约</w:t>
      </w:r>
      <w:r>
        <w:rPr>
          <w:rFonts w:hint="default" w:ascii="Times New Roman" w:hAnsi="Times New Roman" w:eastAsia="宋体" w:cs="Times New Roman"/>
          <w:bCs/>
          <w:color w:val="auto"/>
          <w:szCs w:val="21"/>
          <w:highlight w:val="none"/>
        </w:rPr>
        <w:t>定</w:t>
      </w:r>
      <w:r>
        <w:rPr>
          <w:rFonts w:hint="default" w:ascii="Times New Roman" w:hAnsi="Times New Roman" w:eastAsia="宋体" w:cs="Times New Roman"/>
          <w:bCs/>
          <w:color w:val="auto"/>
          <w:szCs w:val="21"/>
          <w:highlight w:val="none"/>
          <w:lang w:eastAsia="zh-CN"/>
        </w:rPr>
        <w:t>外</w:t>
      </w:r>
      <w:r>
        <w:rPr>
          <w:rFonts w:hint="default" w:ascii="Times New Roman" w:hAnsi="Times New Roman" w:eastAsia="宋体" w:cs="Times New Roman"/>
          <w:bCs/>
          <w:color w:val="auto"/>
          <w:szCs w:val="21"/>
          <w:highlight w:val="none"/>
        </w:rPr>
        <w:t>，</w:t>
      </w:r>
      <w:r>
        <w:rPr>
          <w:rFonts w:hint="default" w:ascii="Times New Roman" w:hAnsi="Times New Roman" w:eastAsia="宋体" w:cs="Times New Roman"/>
          <w:color w:val="auto"/>
          <w:szCs w:val="21"/>
          <w:highlight w:val="none"/>
        </w:rPr>
        <w:t>乙方负责办理将货物运抵本合同规定的交货地点</w:t>
      </w:r>
      <w:r>
        <w:rPr>
          <w:rFonts w:hint="default" w:ascii="Times New Roman" w:hAnsi="Times New Roman" w:eastAsia="宋体" w:cs="Times New Roman"/>
          <w:color w:val="auto"/>
          <w:szCs w:val="21"/>
          <w:highlight w:val="none"/>
          <w:lang w:eastAsia="zh-CN"/>
        </w:rPr>
        <w:t>，并装卸、交付至甲方</w:t>
      </w:r>
      <w:r>
        <w:rPr>
          <w:rFonts w:hint="default" w:ascii="Times New Roman" w:hAnsi="Times New Roman" w:eastAsia="宋体" w:cs="Times New Roman"/>
          <w:color w:val="auto"/>
          <w:szCs w:val="21"/>
          <w:highlight w:val="none"/>
        </w:rPr>
        <w:t>的一切运输事项，相关费用应</w:t>
      </w:r>
      <w:r>
        <w:rPr>
          <w:rFonts w:hint="default" w:ascii="Times New Roman" w:hAnsi="Times New Roman" w:eastAsia="宋体" w:cs="Times New Roman"/>
          <w:color w:val="auto"/>
          <w:szCs w:val="21"/>
          <w:highlight w:val="none"/>
          <w:lang w:eastAsia="zh-CN"/>
        </w:rPr>
        <w:t>包含</w:t>
      </w:r>
      <w:r>
        <w:rPr>
          <w:rFonts w:hint="default" w:ascii="Times New Roman" w:hAnsi="Times New Roman" w:eastAsia="宋体" w:cs="Times New Roman"/>
          <w:color w:val="auto"/>
          <w:szCs w:val="21"/>
          <w:highlight w:val="none"/>
        </w:rPr>
        <w:t>在合同</w:t>
      </w:r>
      <w:r>
        <w:rPr>
          <w:rFonts w:hint="default" w:ascii="Times New Roman" w:hAnsi="Times New Roman" w:eastAsia="宋体" w:cs="Times New Roman"/>
          <w:color w:val="auto"/>
          <w:szCs w:val="21"/>
          <w:highlight w:val="none"/>
          <w:lang w:eastAsia="zh-CN"/>
        </w:rPr>
        <w:t>价款</w:t>
      </w:r>
      <w:r>
        <w:rPr>
          <w:rFonts w:hint="default" w:ascii="Times New Roman" w:hAnsi="Times New Roman" w:eastAsia="宋体" w:cs="Times New Roman"/>
          <w:color w:val="auto"/>
          <w:szCs w:val="21"/>
          <w:highlight w:val="none"/>
        </w:rPr>
        <w:t>中。</w:t>
      </w:r>
    </w:p>
    <w:p w14:paraId="341E70AF">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.3 货物保险要求按</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Cs/>
          <w:color w:val="auto"/>
          <w:szCs w:val="21"/>
          <w:highlight w:val="none"/>
        </w:rPr>
        <w:t>规定执行</w:t>
      </w:r>
      <w:r>
        <w:rPr>
          <w:rFonts w:hint="default" w:ascii="Times New Roman" w:hAnsi="Times New Roman" w:eastAsia="宋体" w:cs="Times New Roman"/>
          <w:color w:val="auto"/>
          <w:szCs w:val="21"/>
          <w:highlight w:val="none"/>
        </w:rPr>
        <w:t>。</w:t>
      </w:r>
    </w:p>
    <w:p w14:paraId="1BBC378A">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7</w:t>
      </w:r>
      <w:r>
        <w:rPr>
          <w:rFonts w:hint="default" w:ascii="Times New Roman" w:hAnsi="Times New Roman" w:eastAsia="宋体" w:cs="Times New Roman"/>
          <w:color w:val="auto"/>
          <w:szCs w:val="21"/>
          <w:highlight w:val="none"/>
        </w:rPr>
        <w:t xml:space="preserve">.4 </w:t>
      </w:r>
      <w:r>
        <w:rPr>
          <w:rFonts w:hint="default" w:ascii="Times New Roman" w:hAnsi="Times New Roman" w:eastAsia="宋体" w:cs="Times New Roman"/>
          <w:color w:val="auto"/>
          <w:szCs w:val="21"/>
          <w:highlight w:val="none"/>
          <w:lang w:val="en-US" w:eastAsia="zh-CN"/>
        </w:rPr>
        <w:t>除采购活动</w:t>
      </w:r>
      <w:r>
        <w:rPr>
          <w:rFonts w:hint="default" w:ascii="Times New Roman" w:hAnsi="Times New Roman" w:eastAsia="宋体" w:cs="Times New Roman"/>
          <w:color w:val="auto"/>
          <w:szCs w:val="21"/>
          <w:highlight w:val="none"/>
        </w:rPr>
        <w:t>对商品包装</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快递包装</w:t>
      </w:r>
      <w:r>
        <w:rPr>
          <w:rFonts w:hint="default" w:ascii="Times New Roman" w:hAnsi="Times New Roman" w:eastAsia="宋体" w:cs="Times New Roman"/>
          <w:color w:val="auto"/>
          <w:szCs w:val="21"/>
          <w:highlight w:val="none"/>
          <w:lang w:val="en-US" w:eastAsia="zh-CN"/>
        </w:rPr>
        <w:t>达成具体约定外</w:t>
      </w:r>
      <w:r>
        <w:rPr>
          <w:rFonts w:hint="default" w:ascii="Times New Roman" w:hAnsi="Times New Roman" w:eastAsia="宋体" w:cs="Times New Roman"/>
          <w:color w:val="auto"/>
          <w:szCs w:val="21"/>
          <w:highlight w:val="none"/>
        </w:rPr>
        <w:t>，乙方提供产品及相关快递服务</w:t>
      </w:r>
      <w:r>
        <w:rPr>
          <w:rFonts w:hint="default" w:ascii="Times New Roman" w:hAnsi="Times New Roman" w:eastAsia="宋体" w:cs="Times New Roman"/>
          <w:color w:val="auto"/>
          <w:szCs w:val="21"/>
          <w:highlight w:val="none"/>
          <w:lang w:val="en-US" w:eastAsia="zh-CN"/>
        </w:rPr>
        <w:t>涉及到</w:t>
      </w:r>
      <w:r>
        <w:rPr>
          <w:rFonts w:hint="default" w:ascii="Times New Roman" w:hAnsi="Times New Roman" w:eastAsia="宋体" w:cs="Times New Roman"/>
          <w:color w:val="auto"/>
          <w:szCs w:val="21"/>
          <w:highlight w:val="none"/>
        </w:rPr>
        <w:t>具体包装要求</w:t>
      </w:r>
      <w:r>
        <w:rPr>
          <w:rFonts w:hint="default" w:ascii="Times New Roman" w:hAnsi="Times New Roman" w:eastAsia="宋体" w:cs="Times New Roman"/>
          <w:color w:val="auto"/>
          <w:szCs w:val="21"/>
          <w:highlight w:val="none"/>
          <w:lang w:val="en-US" w:eastAsia="zh-CN"/>
        </w:rPr>
        <w:t>的，</w:t>
      </w:r>
      <w:r>
        <w:rPr>
          <w:rFonts w:hint="default" w:ascii="Times New Roman" w:hAnsi="Times New Roman" w:eastAsia="宋体" w:cs="Times New Roman"/>
          <w:color w:val="auto"/>
          <w:szCs w:val="21"/>
          <w:highlight w:val="none"/>
        </w:rPr>
        <w:t>应</w:t>
      </w:r>
      <w:r>
        <w:rPr>
          <w:rFonts w:hint="default" w:ascii="Times New Roman" w:hAnsi="Times New Roman" w:eastAsia="宋体" w:cs="Times New Roman"/>
          <w:color w:val="auto"/>
          <w:szCs w:val="21"/>
          <w:highlight w:val="none"/>
          <w:lang w:val="en-US" w:eastAsia="zh-CN"/>
        </w:rPr>
        <w:t>不低于</w:t>
      </w:r>
      <w:r>
        <w:rPr>
          <w:rFonts w:hint="default" w:ascii="Times New Roman" w:hAnsi="Times New Roman" w:eastAsia="宋体" w:cs="Times New Roman"/>
          <w:color w:val="auto"/>
          <w:szCs w:val="21"/>
          <w:highlight w:val="none"/>
        </w:rPr>
        <w:t>《商品包装政府采购需求标准（试行）</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快递包装政府采购需求标准（试行）》</w:t>
      </w:r>
      <w:r>
        <w:rPr>
          <w:rFonts w:hint="default" w:ascii="Times New Roman" w:hAnsi="Times New Roman" w:eastAsia="宋体" w:cs="Times New Roman"/>
          <w:color w:val="auto"/>
          <w:szCs w:val="21"/>
          <w:highlight w:val="none"/>
          <w:lang w:val="en-US" w:eastAsia="zh-CN"/>
        </w:rPr>
        <w:t>标准</w:t>
      </w:r>
      <w:r>
        <w:rPr>
          <w:rFonts w:hint="default" w:ascii="Times New Roman" w:hAnsi="Times New Roman" w:eastAsia="宋体" w:cs="Times New Roman"/>
          <w:color w:val="auto"/>
          <w:szCs w:val="21"/>
          <w:highlight w:val="none"/>
        </w:rPr>
        <w:t>，并作为履约验收的内容，必要时甲方可以要求乙方在履约验收环节出具检测报告。</w:t>
      </w:r>
    </w:p>
    <w:p w14:paraId="0D237888">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7.5 </w:t>
      </w:r>
      <w:r>
        <w:rPr>
          <w:rFonts w:hint="default" w:ascii="Times New Roman" w:hAnsi="Times New Roman" w:eastAsia="宋体" w:cs="Times New Roman"/>
          <w:color w:val="auto"/>
          <w:szCs w:val="21"/>
          <w:highlight w:val="none"/>
        </w:rPr>
        <w:t>乙方在运输到达之前</w:t>
      </w:r>
      <w:r>
        <w:rPr>
          <w:rFonts w:hint="default" w:ascii="Times New Roman" w:hAnsi="Times New Roman" w:eastAsia="宋体" w:cs="Times New Roman"/>
          <w:color w:val="auto"/>
          <w:szCs w:val="21"/>
          <w:highlight w:val="none"/>
          <w:lang w:eastAsia="zh-CN"/>
        </w:rPr>
        <w:t>应</w:t>
      </w:r>
      <w:r>
        <w:rPr>
          <w:rFonts w:hint="default" w:ascii="Times New Roman" w:hAnsi="Times New Roman" w:eastAsia="宋体" w:cs="Times New Roman"/>
          <w:color w:val="auto"/>
          <w:szCs w:val="21"/>
          <w:highlight w:val="none"/>
        </w:rPr>
        <w:t>提前通知</w:t>
      </w:r>
      <w:r>
        <w:rPr>
          <w:rFonts w:hint="default" w:ascii="Times New Roman" w:hAnsi="Times New Roman" w:eastAsia="宋体" w:cs="Times New Roman"/>
          <w:color w:val="auto"/>
          <w:szCs w:val="21"/>
          <w:highlight w:val="none"/>
          <w:lang w:eastAsia="zh-CN"/>
        </w:rPr>
        <w:t>甲方</w:t>
      </w:r>
      <w:r>
        <w:rPr>
          <w:rFonts w:hint="default" w:ascii="Times New Roman" w:hAnsi="Times New Roman" w:eastAsia="宋体" w:cs="Times New Roman"/>
          <w:color w:val="auto"/>
          <w:szCs w:val="21"/>
          <w:highlight w:val="none"/>
        </w:rPr>
        <w:t>，并提示货物运输装卸的注意事项</w:t>
      </w:r>
      <w:r>
        <w:rPr>
          <w:rFonts w:hint="default" w:ascii="Times New Roman" w:hAnsi="Times New Roman" w:eastAsia="宋体" w:cs="Times New Roman"/>
          <w:color w:val="auto"/>
          <w:szCs w:val="21"/>
          <w:highlight w:val="none"/>
          <w:lang w:eastAsia="zh-CN"/>
        </w:rPr>
        <w:t>，甲方配合乙方做好货物的接收工作。</w:t>
      </w:r>
    </w:p>
    <w:p w14:paraId="3FB5BD15">
      <w:pPr>
        <w:autoSpaceDE w:val="0"/>
        <w:autoSpaceDN w:val="0"/>
        <w:adjustRightInd w:val="0"/>
        <w:spacing w:line="400" w:lineRule="exact"/>
        <w:ind w:firstLine="420" w:firstLineChars="200"/>
        <w:rPr>
          <w:rFonts w:hint="default" w:ascii="Times New Roman" w:hAnsi="Times New Roman" w:eastAsia="华文楷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6E4E7944">
      <w:pPr>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eastAsia="zh-CN"/>
        </w:rPr>
        <w:t>8</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质量标准和保证</w:t>
      </w:r>
    </w:p>
    <w:p w14:paraId="5D05D0A5">
      <w:pPr>
        <w:widowControl w:val="0"/>
        <w:adjustRightInd w:val="0"/>
        <w:snapToGrid w:val="0"/>
        <w:spacing w:before="0" w:line="400" w:lineRule="exact"/>
        <w:ind w:firstLine="420" w:firstLineChars="200"/>
        <w:jc w:val="left"/>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8.1 质量标准</w:t>
      </w:r>
    </w:p>
    <w:p w14:paraId="089069F7">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（1）本合同下</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rPr>
        <w:t>的货物应符合</w:t>
      </w:r>
      <w:r>
        <w:rPr>
          <w:rFonts w:hint="default" w:ascii="Times New Roman" w:hAnsi="Times New Roman" w:eastAsia="宋体" w:cs="Times New Roman"/>
          <w:color w:val="auto"/>
          <w:szCs w:val="21"/>
          <w:highlight w:val="none"/>
          <w:lang w:eastAsia="zh-CN"/>
        </w:rPr>
        <w:t>合同约</w:t>
      </w:r>
      <w:r>
        <w:rPr>
          <w:rFonts w:hint="default" w:ascii="Times New Roman" w:hAnsi="Times New Roman" w:eastAsia="宋体" w:cs="Times New Roman"/>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default" w:ascii="Times New Roman" w:hAnsi="Times New Roman" w:eastAsia="宋体" w:cs="Times New Roman"/>
          <w:color w:val="auto"/>
          <w:szCs w:val="21"/>
          <w:highlight w:val="none"/>
          <w:lang w:eastAsia="zh-CN"/>
        </w:rPr>
        <w:t>。</w:t>
      </w:r>
    </w:p>
    <w:p w14:paraId="68348352">
      <w:pPr>
        <w:widowControl w:val="0"/>
        <w:adjustRightInd w:val="0"/>
        <w:snapToGrid w:val="0"/>
        <w:spacing w:before="0" w:line="400" w:lineRule="exact"/>
        <w:ind w:firstLine="420" w:firstLineChars="20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（2）采用中华人民共和国法定计量单位。</w:t>
      </w:r>
    </w:p>
    <w:p w14:paraId="398D28A1">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（3）乙方所</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rPr>
        <w:t>的货物应符合国家有关安全、环保、卫生</w:t>
      </w:r>
      <w:r>
        <w:rPr>
          <w:rFonts w:hint="default" w:ascii="Times New Roman" w:hAnsi="Times New Roman" w:eastAsia="宋体" w:cs="Times New Roman"/>
          <w:color w:val="auto"/>
          <w:szCs w:val="21"/>
          <w:highlight w:val="none"/>
          <w:lang w:eastAsia="zh-CN"/>
        </w:rPr>
        <w:t>的</w:t>
      </w:r>
      <w:r>
        <w:rPr>
          <w:rFonts w:hint="default" w:ascii="Times New Roman" w:hAnsi="Times New Roman" w:eastAsia="宋体" w:cs="Times New Roman"/>
          <w:color w:val="auto"/>
          <w:szCs w:val="21"/>
          <w:highlight w:val="none"/>
        </w:rPr>
        <w:t>规定。</w:t>
      </w:r>
    </w:p>
    <w:p w14:paraId="2ADC37FD">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（4）乙方应向甲方提交所</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rPr>
        <w:t>货物的技术文件，包括相应的中文技术文件，如：产品目录、图纸、操作手册、使用说明、维护手册或服务指南</w:t>
      </w:r>
      <w:r>
        <w:rPr>
          <w:rFonts w:hint="default" w:ascii="Times New Roman" w:hAnsi="Times New Roman" w:eastAsia="宋体" w:cs="Times New Roman"/>
          <w:color w:val="auto"/>
          <w:szCs w:val="21"/>
          <w:highlight w:val="none"/>
          <w:lang w:eastAsia="zh-CN"/>
        </w:rPr>
        <w:t>等</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上述</w:t>
      </w:r>
      <w:r>
        <w:rPr>
          <w:rFonts w:hint="default" w:ascii="Times New Roman" w:hAnsi="Times New Roman" w:eastAsia="宋体" w:cs="Times New Roman"/>
          <w:color w:val="auto"/>
          <w:szCs w:val="21"/>
          <w:highlight w:val="none"/>
        </w:rPr>
        <w:t>文件应包装好随货物一同发运。</w:t>
      </w:r>
    </w:p>
    <w:p w14:paraId="699DB5E9">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8</w:t>
      </w:r>
      <w:r>
        <w:rPr>
          <w:rFonts w:hint="default" w:ascii="Times New Roman" w:hAnsi="Times New Roman" w:eastAsia="宋体" w:cs="Times New Roman"/>
          <w:color w:val="auto"/>
          <w:szCs w:val="21"/>
          <w:highlight w:val="none"/>
        </w:rPr>
        <w:t>.2 保证</w:t>
      </w:r>
    </w:p>
    <w:p w14:paraId="2547F226">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（1）乙方应保证</w:t>
      </w:r>
      <w:r>
        <w:rPr>
          <w:rFonts w:hint="default" w:ascii="Times New Roman" w:hAnsi="Times New Roman" w:eastAsia="宋体" w:cs="Times New Roman"/>
          <w:color w:val="auto"/>
          <w:szCs w:val="21"/>
          <w:highlight w:val="none"/>
          <w:lang w:eastAsia="zh-CN"/>
        </w:rPr>
        <w:t>提供的货物</w:t>
      </w:r>
      <w:r>
        <w:rPr>
          <w:rFonts w:hint="default" w:ascii="Times New Roman" w:hAnsi="Times New Roman" w:eastAsia="宋体" w:cs="Times New Roman"/>
          <w:color w:val="auto"/>
          <w:szCs w:val="21"/>
          <w:highlight w:val="none"/>
        </w:rPr>
        <w:t>完全符合合同规定的质量、规格和性能要求。乙方应保证货物在正确安装、正常使用和保养条件下，在其使用寿命期内具</w:t>
      </w:r>
      <w:r>
        <w:rPr>
          <w:rFonts w:hint="default" w:ascii="Times New Roman" w:hAnsi="Times New Roman" w:eastAsia="宋体" w:cs="Times New Roman"/>
          <w:color w:val="auto"/>
          <w:szCs w:val="21"/>
          <w:highlight w:val="none"/>
          <w:lang w:eastAsia="zh-CN"/>
        </w:rPr>
        <w:t>备合同约定</w:t>
      </w:r>
      <w:r>
        <w:rPr>
          <w:rFonts w:hint="default" w:ascii="Times New Roman" w:hAnsi="Times New Roman" w:eastAsia="宋体" w:cs="Times New Roman"/>
          <w:color w:val="auto"/>
          <w:szCs w:val="21"/>
          <w:highlight w:val="none"/>
        </w:rPr>
        <w:t>的性能。</w:t>
      </w:r>
      <w:r>
        <w:rPr>
          <w:rFonts w:hint="default" w:ascii="Times New Roman" w:hAnsi="Times New Roman" w:eastAsia="宋体" w:cs="Times New Roman"/>
          <w:color w:val="auto"/>
          <w:szCs w:val="21"/>
          <w:highlight w:val="none"/>
          <w:lang w:eastAsia="zh-CN"/>
        </w:rPr>
        <w:t>存在</w:t>
      </w:r>
      <w:r>
        <w:rPr>
          <w:rFonts w:hint="default" w:ascii="Times New Roman" w:hAnsi="Times New Roman" w:eastAsia="宋体" w:cs="Times New Roman"/>
          <w:color w:val="auto"/>
          <w:szCs w:val="21"/>
          <w:highlight w:val="none"/>
        </w:rPr>
        <w:t>质量保证期的，货物最终交付验收</w:t>
      </w:r>
      <w:r>
        <w:rPr>
          <w:rFonts w:hint="default" w:ascii="Times New Roman" w:hAnsi="Times New Roman" w:eastAsia="宋体" w:cs="Times New Roman"/>
          <w:color w:val="auto"/>
          <w:szCs w:val="21"/>
          <w:highlight w:val="none"/>
          <w:lang w:eastAsia="zh-CN"/>
        </w:rPr>
        <w:t>合格</w:t>
      </w:r>
      <w:r>
        <w:rPr>
          <w:rFonts w:hint="default" w:ascii="Times New Roman" w:hAnsi="Times New Roman" w:eastAsia="宋体" w:cs="Times New Roman"/>
          <w:color w:val="auto"/>
          <w:szCs w:val="21"/>
          <w:highlight w:val="none"/>
        </w:rPr>
        <w:t>后</w:t>
      </w:r>
      <w:r>
        <w:rPr>
          <w:rFonts w:hint="default" w:ascii="Times New Roman" w:hAnsi="Times New Roman" w:eastAsia="宋体" w:cs="Times New Roman"/>
          <w:color w:val="auto"/>
          <w:szCs w:val="21"/>
          <w:highlight w:val="none"/>
          <w:lang w:eastAsia="zh-CN"/>
        </w:rPr>
        <w:t>在</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规定或乙方</w:t>
      </w:r>
      <w:r>
        <w:rPr>
          <w:rFonts w:hint="default" w:ascii="Times New Roman" w:hAnsi="Times New Roman" w:eastAsia="宋体" w:cs="Times New Roman"/>
          <w:color w:val="auto"/>
          <w:szCs w:val="21"/>
          <w:highlight w:val="none"/>
          <w:lang w:eastAsia="zh-CN"/>
        </w:rPr>
        <w:t>书面</w:t>
      </w:r>
      <w:r>
        <w:rPr>
          <w:rFonts w:hint="default" w:ascii="Times New Roman" w:hAnsi="Times New Roman" w:eastAsia="宋体" w:cs="Times New Roman"/>
          <w:color w:val="auto"/>
          <w:szCs w:val="21"/>
          <w:highlight w:val="none"/>
        </w:rPr>
        <w:t>承诺（两者以较长的为准）的质量保证期内，本保证保持有效。</w:t>
      </w:r>
    </w:p>
    <w:p w14:paraId="26B170EA">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（2）在质量保证期内所发现的缺陷，甲方应尽快以书面形式通知乙方。</w:t>
      </w:r>
    </w:p>
    <w:p w14:paraId="3BA6AB83">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（3）乙方收到通知后</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应在</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规定的响应时间内以合理的速度免费维修或更换有缺陷的货物或部件。</w:t>
      </w:r>
    </w:p>
    <w:p w14:paraId="5FCF7911">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（4）在质量保证期内，如果货物的质量或规格与合同不符，或证实货物是有缺陷的，包括潜在的缺陷或使用不符合要求的材料等，甲方可以根据本合同第1</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.1条规定以书面形式</w:t>
      </w:r>
      <w:r>
        <w:rPr>
          <w:rFonts w:hint="default" w:ascii="Times New Roman" w:hAnsi="Times New Roman" w:eastAsia="宋体" w:cs="Times New Roman"/>
          <w:color w:val="auto"/>
          <w:szCs w:val="21"/>
          <w:highlight w:val="none"/>
          <w:lang w:eastAsia="zh-CN"/>
        </w:rPr>
        <w:t>追究</w:t>
      </w:r>
      <w:r>
        <w:rPr>
          <w:rFonts w:hint="default" w:ascii="Times New Roman" w:hAnsi="Times New Roman" w:eastAsia="宋体" w:cs="Times New Roman"/>
          <w:color w:val="auto"/>
          <w:szCs w:val="21"/>
          <w:highlight w:val="none"/>
        </w:rPr>
        <w:t>乙方</w:t>
      </w:r>
      <w:r>
        <w:rPr>
          <w:rFonts w:hint="default" w:ascii="Times New Roman" w:hAnsi="Times New Roman" w:eastAsia="宋体" w:cs="Times New Roman"/>
          <w:color w:val="auto"/>
          <w:szCs w:val="21"/>
          <w:highlight w:val="none"/>
          <w:lang w:eastAsia="zh-CN"/>
        </w:rPr>
        <w:t>的违约责任</w:t>
      </w:r>
      <w:r>
        <w:rPr>
          <w:rFonts w:hint="default" w:ascii="Times New Roman" w:hAnsi="Times New Roman" w:eastAsia="宋体" w:cs="Times New Roman"/>
          <w:color w:val="auto"/>
          <w:szCs w:val="21"/>
          <w:highlight w:val="none"/>
        </w:rPr>
        <w:t>。</w:t>
      </w:r>
    </w:p>
    <w:p w14:paraId="0598F665">
      <w:pPr>
        <w:adjustRightInd w:val="0"/>
        <w:snapToGrid w:val="0"/>
        <w:spacing w:before="0" w:line="400" w:lineRule="exact"/>
        <w:ind w:firstLine="420" w:firstLineChars="20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（5）乙方在约定的时间内未能弥补缺陷，甲方可采取必要的补救措施，但其风险和费用将由乙方承担，甲方根据合同</w:t>
      </w:r>
      <w:r>
        <w:rPr>
          <w:rFonts w:hint="default" w:ascii="Times New Roman" w:hAnsi="Times New Roman" w:eastAsia="宋体" w:cs="Times New Roman"/>
          <w:color w:val="auto"/>
          <w:szCs w:val="21"/>
          <w:highlight w:val="none"/>
          <w:lang w:eastAsia="zh-CN"/>
        </w:rPr>
        <w:t>约定</w:t>
      </w:r>
      <w:r>
        <w:rPr>
          <w:rFonts w:hint="default" w:ascii="Times New Roman" w:hAnsi="Times New Roman" w:eastAsia="宋体" w:cs="Times New Roman"/>
          <w:color w:val="auto"/>
          <w:szCs w:val="21"/>
          <w:highlight w:val="none"/>
        </w:rPr>
        <w:t>对乙方行使的其他权利不受影响。</w:t>
      </w:r>
    </w:p>
    <w:p w14:paraId="249E153B">
      <w:pPr>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9</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权利瑕疵担保</w:t>
      </w:r>
    </w:p>
    <w:p w14:paraId="21ED8CFD">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.1 乙方保证对其出售的货物享有合法的权利。</w:t>
      </w:r>
    </w:p>
    <w:p w14:paraId="67D428A0">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 xml:space="preserve">.2 </w:t>
      </w:r>
      <w:r>
        <w:rPr>
          <w:rFonts w:hint="default" w:ascii="Times New Roman" w:hAnsi="Times New Roman" w:eastAsia="宋体" w:cs="Times New Roman"/>
          <w:color w:val="auto"/>
          <w:szCs w:val="15"/>
          <w:highlight w:val="none"/>
        </w:rPr>
        <w:t>乙方保证在交付的货物上不存在抵押权等担保物权。</w:t>
      </w:r>
    </w:p>
    <w:p w14:paraId="70904946">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9</w:t>
      </w:r>
      <w:r>
        <w:rPr>
          <w:rFonts w:hint="default" w:ascii="Times New Roman" w:hAnsi="Times New Roman" w:eastAsia="宋体" w:cs="Times New Roman"/>
          <w:color w:val="auto"/>
          <w:szCs w:val="21"/>
          <w:highlight w:val="none"/>
        </w:rPr>
        <w:t>.3 如甲方使用</w:t>
      </w:r>
      <w:r>
        <w:rPr>
          <w:rFonts w:hint="default" w:ascii="Times New Roman" w:hAnsi="Times New Roman" w:eastAsia="宋体" w:cs="Times New Roman"/>
          <w:color w:val="auto"/>
          <w:szCs w:val="21"/>
          <w:highlight w:val="none"/>
          <w:lang w:val="en-US" w:eastAsia="zh-CN"/>
        </w:rPr>
        <w:t>上述</w:t>
      </w:r>
      <w:r>
        <w:rPr>
          <w:rFonts w:hint="default" w:ascii="Times New Roman" w:hAnsi="Times New Roman" w:eastAsia="宋体" w:cs="Times New Roman"/>
          <w:color w:val="auto"/>
          <w:szCs w:val="21"/>
          <w:highlight w:val="none"/>
        </w:rPr>
        <w:t>货物构成</w:t>
      </w:r>
      <w:r>
        <w:rPr>
          <w:rFonts w:hint="default" w:ascii="Times New Roman" w:hAnsi="Times New Roman" w:eastAsia="宋体" w:cs="Times New Roman"/>
          <w:color w:val="auto"/>
          <w:szCs w:val="21"/>
          <w:highlight w:val="none"/>
          <w:lang w:val="en-US" w:eastAsia="zh-CN"/>
        </w:rPr>
        <w:t>对第三人</w:t>
      </w:r>
      <w:r>
        <w:rPr>
          <w:rFonts w:hint="default" w:ascii="Times New Roman" w:hAnsi="Times New Roman" w:eastAsia="宋体" w:cs="Times New Roman"/>
          <w:color w:val="auto"/>
          <w:szCs w:val="21"/>
          <w:highlight w:val="none"/>
        </w:rPr>
        <w:t>侵权的，则由乙方承担全部责任。</w:t>
      </w:r>
    </w:p>
    <w:p w14:paraId="2E235077">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0</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知识产权保护</w:t>
      </w:r>
    </w:p>
    <w:p w14:paraId="1A8D2B69">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0</w:t>
      </w:r>
      <w:r>
        <w:rPr>
          <w:rFonts w:hint="default" w:ascii="Times New Roman" w:hAnsi="Times New Roman" w:eastAsia="宋体" w:cs="Times New Roman"/>
          <w:color w:val="auto"/>
          <w:szCs w:val="21"/>
          <w:highlight w:val="none"/>
        </w:rPr>
        <w:t>.1 乙方对其所销售的货物应当享有知识产权或经权利人合法授权，保证没有侵犯任何第三人的知识产权等权利。</w:t>
      </w:r>
      <w:bookmarkStart w:id="56" w:name="_Hlk163047038"/>
      <w:r>
        <w:rPr>
          <w:rFonts w:hint="default" w:ascii="Times New Roman" w:hAnsi="Times New Roman" w:eastAsia="宋体" w:cs="Times New Roman"/>
          <w:color w:val="auto"/>
          <w:szCs w:val="15"/>
          <w:highlight w:val="none"/>
        </w:rPr>
        <w:t>因违反前述约定对第三人构成侵权的，应当由乙方向第三人承担法律责任；甲方依法向第三人赔偿后，有权向乙方追偿。甲方有其他损失的，乙方应当赔偿</w:t>
      </w:r>
      <w:bookmarkEnd w:id="56"/>
      <w:r>
        <w:rPr>
          <w:rFonts w:hint="default" w:ascii="Times New Roman" w:hAnsi="Times New Roman" w:eastAsia="宋体" w:cs="Times New Roman"/>
          <w:color w:val="auto"/>
          <w:szCs w:val="21"/>
          <w:highlight w:val="none"/>
        </w:rPr>
        <w:t>。</w:t>
      </w:r>
    </w:p>
    <w:p w14:paraId="1AF0ACAC">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1</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保密义务</w:t>
      </w:r>
    </w:p>
    <w:p w14:paraId="37C8DAD4">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15"/>
          <w:highlight w:val="none"/>
        </w:rPr>
      </w:pPr>
      <w:r>
        <w:rPr>
          <w:rFonts w:hint="default" w:ascii="Times New Roman" w:hAnsi="Times New Roman" w:eastAsia="宋体" w:cs="Times New Roman"/>
          <w:color w:val="auto"/>
          <w:szCs w:val="15"/>
          <w:highlight w:val="none"/>
          <w:lang w:val="en-US" w:eastAsia="zh-CN"/>
        </w:rPr>
        <w:t xml:space="preserve">11.1 </w:t>
      </w:r>
      <w:r>
        <w:rPr>
          <w:rFonts w:hint="default" w:ascii="Times New Roman" w:hAnsi="Times New Roman" w:eastAsia="宋体" w:cs="Times New Roman"/>
          <w:color w:val="auto"/>
          <w:szCs w:val="15"/>
          <w:highlight w:val="none"/>
        </w:rPr>
        <w:t>甲、乙双方</w:t>
      </w:r>
      <w:r>
        <w:rPr>
          <w:rFonts w:hint="default" w:ascii="Times New Roman" w:hAnsi="Times New Roman" w:eastAsia="宋体" w:cs="Times New Roman"/>
          <w:color w:val="auto"/>
          <w:szCs w:val="15"/>
          <w:highlight w:val="none"/>
          <w:lang w:eastAsia="zh-CN"/>
        </w:rPr>
        <w:t>对</w:t>
      </w:r>
      <w:r>
        <w:rPr>
          <w:rFonts w:hint="default" w:ascii="Times New Roman" w:hAnsi="Times New Roman" w:eastAsia="宋体" w:cs="Times New Roman"/>
          <w:color w:val="auto"/>
          <w:szCs w:val="15"/>
          <w:highlight w:val="none"/>
        </w:rPr>
        <w:t>采购和合同履行过程中所获悉的</w:t>
      </w:r>
      <w:r>
        <w:rPr>
          <w:rFonts w:hint="default" w:ascii="Times New Roman" w:hAnsi="Times New Roman" w:eastAsia="宋体" w:cs="Times New Roman"/>
          <w:color w:val="auto"/>
          <w:szCs w:val="15"/>
          <w:highlight w:val="none"/>
          <w:lang w:eastAsia="zh-CN"/>
        </w:rPr>
        <w:t>国家秘密、工作秘密、</w:t>
      </w:r>
      <w:r>
        <w:rPr>
          <w:rFonts w:hint="default" w:ascii="Times New Roman" w:hAnsi="Times New Roman" w:eastAsia="宋体" w:cs="Times New Roman"/>
          <w:color w:val="auto"/>
          <w:szCs w:val="15"/>
          <w:highlight w:val="none"/>
        </w:rPr>
        <w:t>商业秘密或者其他应当保密的信息，均有保密义务</w:t>
      </w:r>
      <w:r>
        <w:rPr>
          <w:rFonts w:hint="default" w:ascii="Times New Roman" w:hAnsi="Times New Roman" w:eastAsia="宋体" w:cs="Times New Roman"/>
          <w:color w:val="auto"/>
          <w:szCs w:val="15"/>
          <w:highlight w:val="none"/>
          <w:lang w:eastAsia="zh-CN"/>
        </w:rPr>
        <w:t>且不受合同有效期所限，直至该信息成为公开信息</w:t>
      </w:r>
      <w:r>
        <w:rPr>
          <w:rFonts w:hint="default" w:ascii="Times New Roman" w:hAnsi="Times New Roman" w:eastAsia="宋体" w:cs="Times New Roman"/>
          <w:color w:val="auto"/>
          <w:szCs w:val="15"/>
          <w:highlight w:val="none"/>
        </w:rPr>
        <w:t>。泄露、不正当地使用</w:t>
      </w:r>
      <w:r>
        <w:rPr>
          <w:rFonts w:hint="default" w:ascii="Times New Roman" w:hAnsi="Times New Roman" w:eastAsia="宋体" w:cs="Times New Roman"/>
          <w:color w:val="auto"/>
          <w:szCs w:val="15"/>
          <w:highlight w:val="none"/>
          <w:lang w:eastAsia="zh-CN"/>
        </w:rPr>
        <w:t>国家秘密、工作秘密、</w:t>
      </w:r>
      <w:r>
        <w:rPr>
          <w:rFonts w:hint="default" w:ascii="Times New Roman" w:hAnsi="Times New Roman" w:eastAsia="宋体" w:cs="Times New Roman"/>
          <w:color w:val="auto"/>
          <w:szCs w:val="15"/>
          <w:highlight w:val="none"/>
        </w:rPr>
        <w:t>商业秘密或者</w:t>
      </w:r>
      <w:r>
        <w:rPr>
          <w:rFonts w:hint="default" w:ascii="Times New Roman" w:hAnsi="Times New Roman" w:eastAsia="宋体" w:cs="Times New Roman"/>
          <w:color w:val="auto"/>
          <w:szCs w:val="15"/>
          <w:highlight w:val="none"/>
          <w:lang w:eastAsia="zh-CN"/>
        </w:rPr>
        <w:t>其他应当保密的</w:t>
      </w:r>
      <w:r>
        <w:rPr>
          <w:rFonts w:hint="default" w:ascii="Times New Roman" w:hAnsi="Times New Roman" w:eastAsia="宋体" w:cs="Times New Roman"/>
          <w:color w:val="auto"/>
          <w:szCs w:val="15"/>
          <w:highlight w:val="none"/>
        </w:rPr>
        <w:t>信息，应当承担</w:t>
      </w:r>
      <w:r>
        <w:rPr>
          <w:rFonts w:hint="default" w:ascii="Times New Roman" w:hAnsi="Times New Roman" w:eastAsia="宋体" w:cs="Times New Roman"/>
          <w:color w:val="auto"/>
          <w:szCs w:val="15"/>
          <w:highlight w:val="none"/>
          <w:lang w:eastAsia="zh-CN"/>
        </w:rPr>
        <w:t>相应</w:t>
      </w:r>
      <w:r>
        <w:rPr>
          <w:rFonts w:hint="default" w:ascii="Times New Roman" w:hAnsi="Times New Roman" w:eastAsia="宋体" w:cs="Times New Roman"/>
          <w:color w:val="auto"/>
          <w:szCs w:val="15"/>
          <w:highlight w:val="none"/>
        </w:rPr>
        <w:t>责任。其他应当保密的信息由双方在</w:t>
      </w:r>
      <w:r>
        <w:rPr>
          <w:rFonts w:hint="default" w:ascii="Times New Roman" w:hAnsi="Times New Roman" w:eastAsia="宋体" w:cs="Times New Roman"/>
          <w:b/>
          <w:bCs/>
          <w:color w:val="auto"/>
          <w:szCs w:val="15"/>
          <w:highlight w:val="none"/>
        </w:rPr>
        <w:t>【政府采购合同专用条款】</w:t>
      </w:r>
      <w:r>
        <w:rPr>
          <w:rFonts w:hint="default" w:ascii="Times New Roman" w:hAnsi="Times New Roman" w:eastAsia="宋体" w:cs="Times New Roman"/>
          <w:color w:val="auto"/>
          <w:szCs w:val="15"/>
          <w:highlight w:val="none"/>
        </w:rPr>
        <w:t>中约定。</w:t>
      </w:r>
    </w:p>
    <w:p w14:paraId="6ACA6D10">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2</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合同价款支付</w:t>
      </w:r>
    </w:p>
    <w:p w14:paraId="43B6DEA6">
      <w:pPr>
        <w:autoSpaceDE/>
        <w:autoSpaceDN/>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2</w:t>
      </w:r>
      <w:r>
        <w:rPr>
          <w:rFonts w:hint="default" w:ascii="Times New Roman" w:hAnsi="Times New Roman" w:eastAsia="宋体" w:cs="Times New Roman"/>
          <w:color w:val="auto"/>
          <w:szCs w:val="21"/>
          <w:highlight w:val="none"/>
        </w:rPr>
        <w:t xml:space="preserve">.1 </w:t>
      </w:r>
      <w:r>
        <w:rPr>
          <w:rFonts w:hint="default" w:ascii="Times New Roman" w:hAnsi="Times New Roman" w:eastAsia="宋体" w:cs="Times New Roman"/>
          <w:color w:val="auto"/>
          <w:szCs w:val="21"/>
          <w:highlight w:val="none"/>
          <w:lang w:eastAsia="zh-CN"/>
        </w:rPr>
        <w:t>合同价款支付</w:t>
      </w:r>
      <w:r>
        <w:rPr>
          <w:rFonts w:hint="default" w:ascii="Times New Roman" w:hAnsi="Times New Roman" w:eastAsia="宋体" w:cs="Times New Roman"/>
          <w:color w:val="auto"/>
          <w:szCs w:val="21"/>
          <w:highlight w:val="none"/>
        </w:rPr>
        <w:t>按照国库集中支付</w:t>
      </w:r>
      <w:r>
        <w:rPr>
          <w:rFonts w:hint="default" w:ascii="Times New Roman" w:hAnsi="Times New Roman" w:eastAsia="宋体" w:cs="Times New Roman"/>
          <w:color w:val="auto"/>
          <w:szCs w:val="21"/>
          <w:highlight w:val="none"/>
          <w:lang w:eastAsia="zh-CN"/>
        </w:rPr>
        <w:t>制度及财政管理相关</w:t>
      </w:r>
      <w:r>
        <w:rPr>
          <w:rFonts w:hint="default" w:ascii="Times New Roman" w:hAnsi="Times New Roman" w:eastAsia="宋体" w:cs="Times New Roman"/>
          <w:color w:val="auto"/>
          <w:szCs w:val="21"/>
          <w:highlight w:val="none"/>
        </w:rPr>
        <w:t>规定执行。</w:t>
      </w:r>
    </w:p>
    <w:p w14:paraId="501D8B9F">
      <w:pPr>
        <w:keepNext/>
        <w:keepLines/>
        <w:widowControl w:val="0"/>
        <w:spacing w:line="400" w:lineRule="exact"/>
        <w:ind w:firstLine="420" w:firstLineChars="200"/>
        <w:jc w:val="both"/>
        <w:outlineLvl w:val="9"/>
        <w:rPr>
          <w:rFonts w:hint="default" w:ascii="Times New Roman" w:hAnsi="Times New Roman" w:eastAsia="宋体" w:cs="Times New Roman"/>
          <w:b/>
          <w:bCs/>
          <w:color w:val="auto"/>
          <w:kern w:val="2"/>
          <w:sz w:val="24"/>
          <w:szCs w:val="32"/>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12.2 对于满足合同约定支付条件的，甲方</w:t>
      </w:r>
      <w:r>
        <w:rPr>
          <w:rFonts w:hint="default" w:ascii="Times New Roman" w:hAnsi="Times New Roman" w:eastAsia="宋体" w:cs="Times New Roman"/>
          <w:b w:val="0"/>
          <w:bCs w:val="0"/>
          <w:i w:val="0"/>
          <w:iCs w:val="0"/>
          <w:caps w:val="0"/>
          <w:color w:val="auto"/>
          <w:spacing w:val="0"/>
          <w:kern w:val="2"/>
          <w:sz w:val="21"/>
          <w:szCs w:val="21"/>
          <w:highlight w:val="none"/>
          <w:shd w:val="clear" w:color="auto" w:fill="auto"/>
          <w:vertAlign w:val="baseline"/>
          <w:lang w:val="en-US" w:eastAsia="zh-CN" w:bidi="ar-SA"/>
        </w:rPr>
        <w:t>原则上应当自收到发票后10个工作日内</w:t>
      </w:r>
      <w:r>
        <w:rPr>
          <w:rFonts w:hint="default" w:ascii="Times New Roman" w:hAnsi="Times New Roman"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default" w:ascii="Times New Roman" w:hAnsi="Times New Roman" w:eastAsia="宋体" w:cs="Times New Roman"/>
          <w:b/>
          <w:bCs/>
          <w:color w:val="auto"/>
          <w:kern w:val="2"/>
          <w:sz w:val="21"/>
          <w:szCs w:val="21"/>
          <w:highlight w:val="none"/>
          <w:lang w:val="en-US" w:eastAsia="zh-CN" w:bidi="ar-SA"/>
        </w:rPr>
        <w:t>政府采购合同专用条款</w:t>
      </w:r>
      <w:r>
        <w:rPr>
          <w:rFonts w:hint="default" w:ascii="Times New Roman" w:hAnsi="Times New Roman" w:eastAsia="宋体" w:cs="Times New Roman"/>
          <w:b w:val="0"/>
          <w:bCs w:val="0"/>
          <w:color w:val="auto"/>
          <w:kern w:val="2"/>
          <w:sz w:val="21"/>
          <w:szCs w:val="21"/>
          <w:highlight w:val="none"/>
          <w:lang w:val="en-US" w:eastAsia="zh-CN" w:bidi="ar-SA"/>
        </w:rPr>
        <w:t>】中约定。</w:t>
      </w:r>
    </w:p>
    <w:p w14:paraId="15B88C25">
      <w:pPr>
        <w:widowControl w:val="0"/>
        <w:spacing w:after="0" w:line="400" w:lineRule="exact"/>
        <w:jc w:val="both"/>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13. 履约保证金</w:t>
      </w:r>
    </w:p>
    <w:p w14:paraId="3D4E0B8D">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 xml:space="preserve">.1 </w:t>
      </w:r>
      <w:r>
        <w:rPr>
          <w:rFonts w:hint="default" w:ascii="Times New Roman" w:hAnsi="Times New Roman" w:eastAsia="宋体" w:cs="Times New Roman"/>
          <w:color w:val="auto"/>
          <w:szCs w:val="15"/>
          <w:highlight w:val="none"/>
        </w:rPr>
        <w:t>乙方应当以支票、汇票、本票或者金融机构、担保机构出具的保函等非现金形式提交。</w:t>
      </w:r>
    </w:p>
    <w:p w14:paraId="253BA2C1">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.2 如果乙方</w:t>
      </w:r>
      <w:r>
        <w:rPr>
          <w:rFonts w:hint="default" w:ascii="Times New Roman" w:hAnsi="Times New Roman" w:eastAsia="宋体" w:cs="Times New Roman"/>
          <w:color w:val="auto"/>
          <w:szCs w:val="21"/>
          <w:highlight w:val="none"/>
          <w:lang w:eastAsia="zh-CN"/>
        </w:rPr>
        <w:t>出现</w:t>
      </w:r>
      <w:r>
        <w:rPr>
          <w:rFonts w:hint="default" w:ascii="Times New Roman" w:hAnsi="Times New Roman" w:eastAsia="宋体" w:cs="Times New Roman"/>
          <w:b/>
          <w:bCs/>
          <w:color w:val="auto"/>
          <w:szCs w:val="15"/>
          <w:highlight w:val="none"/>
        </w:rPr>
        <w:t>【政府采购合同专用条款】</w:t>
      </w:r>
      <w:r>
        <w:rPr>
          <w:rFonts w:hint="default" w:ascii="Times New Roman" w:hAnsi="Times New Roman" w:eastAsia="宋体" w:cs="Times New Roman"/>
          <w:b w:val="0"/>
          <w:bCs w:val="0"/>
          <w:color w:val="auto"/>
          <w:szCs w:val="15"/>
          <w:highlight w:val="none"/>
          <w:lang w:eastAsia="zh-CN"/>
        </w:rPr>
        <w:t>约定情形的</w:t>
      </w:r>
      <w:r>
        <w:rPr>
          <w:rFonts w:hint="default" w:ascii="Times New Roman" w:hAnsi="Times New Roman" w:eastAsia="宋体" w:cs="Times New Roman"/>
          <w:color w:val="auto"/>
          <w:szCs w:val="21"/>
          <w:highlight w:val="none"/>
        </w:rPr>
        <w:t>，履约保证金不予退还；如果乙方未能按合同约定全面履行义务，甲方有权从履约保证金中取得补偿或赔偿，</w:t>
      </w:r>
      <w:r>
        <w:rPr>
          <w:rFonts w:hint="default" w:ascii="Times New Roman" w:hAnsi="Times New Roman" w:eastAsia="宋体" w:cs="Times New Roman"/>
          <w:color w:val="auto"/>
          <w:szCs w:val="21"/>
          <w:highlight w:val="none"/>
          <w:lang w:eastAsia="zh-CN"/>
        </w:rPr>
        <w:t>且</w:t>
      </w:r>
      <w:r>
        <w:rPr>
          <w:rFonts w:hint="default" w:ascii="Times New Roman" w:hAnsi="Times New Roman" w:eastAsia="宋体" w:cs="Times New Roman"/>
          <w:color w:val="auto"/>
          <w:szCs w:val="21"/>
          <w:highlight w:val="none"/>
        </w:rPr>
        <w:t>不影响甲方要求乙方承担合同约定的超过履约保证金的违约责任的权利。</w:t>
      </w:r>
    </w:p>
    <w:p w14:paraId="72CA8E9D">
      <w:pPr>
        <w:spacing w:line="400" w:lineRule="exact"/>
        <w:ind w:firstLine="42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3</w:t>
      </w:r>
      <w:r>
        <w:rPr>
          <w:rFonts w:hint="default" w:ascii="Times New Roman" w:hAnsi="Times New Roman" w:eastAsia="宋体" w:cs="Times New Roman"/>
          <w:color w:val="auto"/>
          <w:szCs w:val="21"/>
          <w:highlight w:val="none"/>
        </w:rPr>
        <w:t>.3 甲方在项目通过验收后按照</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规定的时间内将履约保证金退还乙方；逾期退还的，乙方可要求甲方支付违约金，违约金按照</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规定支付。</w:t>
      </w:r>
    </w:p>
    <w:p w14:paraId="105F3255">
      <w:pPr>
        <w:autoSpaceDE w:val="0"/>
        <w:autoSpaceDN w:val="0"/>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4</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color w:val="auto"/>
          <w:sz w:val="24"/>
          <w:highlight w:val="none"/>
        </w:rPr>
        <w:t>售后服务</w:t>
      </w:r>
    </w:p>
    <w:p w14:paraId="75E65200">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4</w:t>
      </w:r>
      <w:r>
        <w:rPr>
          <w:rFonts w:hint="default" w:ascii="Times New Roman" w:hAnsi="Times New Roman" w:eastAsia="宋体" w:cs="Times New Roman"/>
          <w:color w:val="auto"/>
          <w:szCs w:val="21"/>
          <w:highlight w:val="none"/>
        </w:rPr>
        <w:t>.1 除项目不涉及或采购活动中明确约定无须承担外，乙方还应提供下列服务：</w:t>
      </w:r>
    </w:p>
    <w:p w14:paraId="6F567570">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（1）货物的现场移动、安装、调试、启动监督及技术支持；</w:t>
      </w:r>
    </w:p>
    <w:p w14:paraId="6A1E7C94">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（2）提供货物组装和维修所需的专用工具和辅助材料；</w:t>
      </w:r>
    </w:p>
    <w:p w14:paraId="39A1186E">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（3）在</w:t>
      </w:r>
      <w:r>
        <w:rPr>
          <w:rFonts w:hint="default" w:ascii="Times New Roman" w:hAnsi="Times New Roman" w:eastAsia="宋体" w:cs="Times New Roman"/>
          <w:b/>
          <w:bCs/>
          <w:color w:val="auto"/>
          <w:szCs w:val="15"/>
          <w:highlight w:val="none"/>
        </w:rPr>
        <w:t>【政府采购合同专用条款】</w:t>
      </w:r>
      <w:r>
        <w:rPr>
          <w:rFonts w:hint="default" w:ascii="Times New Roman" w:hAnsi="Times New Roman" w:eastAsia="宋体" w:cs="Times New Roman"/>
          <w:color w:val="auto"/>
          <w:szCs w:val="21"/>
          <w:highlight w:val="none"/>
          <w:lang w:eastAsia="zh-CN"/>
        </w:rPr>
        <w:t>约定</w:t>
      </w:r>
      <w:r>
        <w:rPr>
          <w:rFonts w:hint="default" w:ascii="Times New Roman" w:hAnsi="Times New Roman" w:eastAsia="宋体" w:cs="Times New Roman"/>
          <w:color w:val="auto"/>
          <w:szCs w:val="21"/>
          <w:highlight w:val="none"/>
        </w:rPr>
        <w:t>的期限内对所有的货物实施运行监督、维修，但前提条件是该服务并不能免除乙方在质量保证期内所承担的义务；</w:t>
      </w:r>
    </w:p>
    <w:p w14:paraId="0DB8E858">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（4）在制造商</w:t>
      </w:r>
      <w:r>
        <w:rPr>
          <w:rFonts w:hint="default" w:ascii="Times New Roman" w:hAnsi="Times New Roman" w:eastAsia="宋体" w:cs="Times New Roman"/>
          <w:color w:val="auto"/>
          <w:szCs w:val="21"/>
          <w:highlight w:val="none"/>
          <w:lang w:eastAsia="zh-CN"/>
        </w:rPr>
        <w:t>所在地</w:t>
      </w:r>
      <w:r>
        <w:rPr>
          <w:rFonts w:hint="default" w:ascii="Times New Roman" w:hAnsi="Times New Roman" w:eastAsia="宋体" w:cs="Times New Roman"/>
          <w:color w:val="auto"/>
          <w:szCs w:val="21"/>
          <w:highlight w:val="none"/>
        </w:rPr>
        <w:t>或</w:t>
      </w:r>
      <w:r>
        <w:rPr>
          <w:rFonts w:hint="default" w:ascii="Times New Roman" w:hAnsi="Times New Roman" w:eastAsia="宋体" w:cs="Times New Roman"/>
          <w:color w:val="auto"/>
          <w:szCs w:val="21"/>
          <w:highlight w:val="none"/>
          <w:lang w:eastAsia="zh-CN"/>
        </w:rPr>
        <w:t>指定</w:t>
      </w:r>
      <w:r>
        <w:rPr>
          <w:rFonts w:hint="default" w:ascii="Times New Roman" w:hAnsi="Times New Roman" w:eastAsia="宋体" w:cs="Times New Roman"/>
          <w:color w:val="auto"/>
          <w:szCs w:val="21"/>
          <w:highlight w:val="none"/>
        </w:rPr>
        <w:t>现场就货物的安装、启动、运营、维护</w:t>
      </w:r>
      <w:r>
        <w:rPr>
          <w:rFonts w:hint="default" w:ascii="Times New Roman" w:hAnsi="Times New Roman" w:eastAsia="宋体" w:cs="Times New Roman"/>
          <w:color w:val="auto"/>
          <w:szCs w:val="21"/>
          <w:highlight w:val="none"/>
          <w:lang w:eastAsia="zh-CN"/>
        </w:rPr>
        <w:t>、废弃处置等</w:t>
      </w:r>
      <w:r>
        <w:rPr>
          <w:rFonts w:hint="default" w:ascii="Times New Roman" w:hAnsi="Times New Roman" w:eastAsia="宋体" w:cs="Times New Roman"/>
          <w:color w:val="auto"/>
          <w:szCs w:val="21"/>
          <w:highlight w:val="none"/>
        </w:rPr>
        <w:t>对甲方操作人员进行培训</w:t>
      </w:r>
      <w:r>
        <w:rPr>
          <w:rFonts w:hint="default" w:ascii="Times New Roman" w:hAnsi="Times New Roman" w:eastAsia="宋体" w:cs="Times New Roman"/>
          <w:color w:val="auto"/>
          <w:szCs w:val="15"/>
          <w:highlight w:val="none"/>
          <w:lang w:eastAsia="zh-CN"/>
        </w:rPr>
        <w:t>；</w:t>
      </w:r>
    </w:p>
    <w:p w14:paraId="4B144BB1">
      <w:pPr>
        <w:autoSpaceDE w:val="0"/>
        <w:autoSpaceDN w:val="0"/>
        <w:adjustRightInd w:val="0"/>
        <w:spacing w:line="400" w:lineRule="exact"/>
        <w:ind w:firstLine="420" w:firstLineChars="20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（5）依照法律、行政法规的规定或者按照</w:t>
      </w:r>
      <w:r>
        <w:rPr>
          <w:rFonts w:hint="default" w:ascii="Times New Roman" w:hAnsi="Times New Roman" w:eastAsia="宋体" w:cs="Times New Roman"/>
          <w:b/>
          <w:bCs/>
          <w:color w:val="auto"/>
          <w:sz w:val="21"/>
          <w:szCs w:val="21"/>
          <w:highlight w:val="none"/>
          <w:lang w:val="en-US" w:eastAsia="zh-CN" w:bidi="ar-SA"/>
        </w:rPr>
        <w:t>【政府采购合同专用条款】</w:t>
      </w:r>
      <w:r>
        <w:rPr>
          <w:rFonts w:hint="default" w:ascii="Times New Roman" w:hAnsi="Times New Roman" w:eastAsia="宋体" w:cs="Times New Roman"/>
          <w:color w:val="auto"/>
          <w:sz w:val="21"/>
          <w:szCs w:val="21"/>
          <w:highlight w:val="none"/>
          <w:lang w:val="en-US" w:eastAsia="zh-CN" w:bidi="ar-SA"/>
        </w:rPr>
        <w:t>约定，货物在有效使用年限届满后应予回收的，乙方负有自行或者委托第三人对货物予以回收的义务；</w:t>
      </w:r>
    </w:p>
    <w:p w14:paraId="461C2EC5">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规定由乙方提供的其他服务。</w:t>
      </w:r>
    </w:p>
    <w:p w14:paraId="46E89F8F">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.2 乙方提供的</w:t>
      </w:r>
      <w:r>
        <w:rPr>
          <w:rFonts w:hint="default" w:ascii="Times New Roman" w:hAnsi="Times New Roman" w:eastAsia="宋体" w:cs="Times New Roman"/>
          <w:color w:val="auto"/>
          <w:szCs w:val="21"/>
          <w:highlight w:val="none"/>
          <w:lang w:eastAsia="zh-CN"/>
        </w:rPr>
        <w:t>售后</w:t>
      </w:r>
      <w:r>
        <w:rPr>
          <w:rFonts w:hint="default" w:ascii="Times New Roman" w:hAnsi="Times New Roman" w:eastAsia="宋体" w:cs="Times New Roman"/>
          <w:color w:val="auto"/>
          <w:szCs w:val="21"/>
          <w:highlight w:val="none"/>
        </w:rPr>
        <w:t>服务的费用</w:t>
      </w:r>
      <w:r>
        <w:rPr>
          <w:rFonts w:hint="default" w:ascii="Times New Roman" w:hAnsi="Times New Roman" w:eastAsia="宋体" w:cs="Times New Roman"/>
          <w:color w:val="auto"/>
          <w:szCs w:val="21"/>
          <w:highlight w:val="none"/>
          <w:lang w:val="en-US" w:eastAsia="zh-CN"/>
        </w:rPr>
        <w:t>已</w:t>
      </w:r>
      <w:r>
        <w:rPr>
          <w:rFonts w:hint="default" w:ascii="Times New Roman" w:hAnsi="Times New Roman" w:eastAsia="宋体" w:cs="Times New Roman"/>
          <w:color w:val="auto"/>
          <w:szCs w:val="21"/>
          <w:highlight w:val="none"/>
        </w:rPr>
        <w:t>包含在合同价款中，甲方不再另行支付。</w:t>
      </w:r>
    </w:p>
    <w:p w14:paraId="5CE27446">
      <w:pPr>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eastAsia="zh-CN"/>
        </w:rPr>
        <w:t>5</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违约责任</w:t>
      </w:r>
    </w:p>
    <w:p w14:paraId="2CDA0D81">
      <w:pPr>
        <w:adjustRightInd w:val="0"/>
        <w:snapToGrid w:val="0"/>
        <w:spacing w:before="0" w:line="400" w:lineRule="exact"/>
        <w:ind w:firstLine="42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r>
        <w:rPr>
          <w:rFonts w:hint="default" w:ascii="Times New Roman" w:hAnsi="Times New Roman" w:eastAsia="宋体" w:cs="Times New Roman"/>
          <w:bCs/>
          <w:color w:val="auto"/>
          <w:szCs w:val="21"/>
          <w:highlight w:val="none"/>
          <w:lang w:eastAsia="zh-CN"/>
        </w:rPr>
        <w:t>5</w:t>
      </w:r>
      <w:r>
        <w:rPr>
          <w:rFonts w:hint="default" w:ascii="Times New Roman" w:hAnsi="Times New Roman" w:eastAsia="宋体" w:cs="Times New Roman"/>
          <w:bCs/>
          <w:color w:val="auto"/>
          <w:szCs w:val="21"/>
          <w:highlight w:val="none"/>
        </w:rPr>
        <w:t>.1质量瑕疵的</w:t>
      </w:r>
      <w:r>
        <w:rPr>
          <w:rFonts w:hint="default" w:ascii="Times New Roman" w:hAnsi="Times New Roman" w:eastAsia="宋体" w:cs="Times New Roman"/>
          <w:bCs/>
          <w:color w:val="auto"/>
          <w:szCs w:val="21"/>
          <w:highlight w:val="none"/>
          <w:lang w:eastAsia="zh-CN"/>
        </w:rPr>
        <w:t>违约责任</w:t>
      </w:r>
    </w:p>
    <w:p w14:paraId="6EDBF015">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乙方</w:t>
      </w:r>
      <w:r>
        <w:rPr>
          <w:rFonts w:hint="default" w:ascii="Times New Roman" w:hAnsi="Times New Roman" w:eastAsia="宋体" w:cs="Times New Roman"/>
          <w:color w:val="auto"/>
          <w:szCs w:val="21"/>
          <w:highlight w:val="none"/>
          <w:lang w:eastAsia="zh-CN"/>
        </w:rPr>
        <w:t>提供</w:t>
      </w:r>
      <w:r>
        <w:rPr>
          <w:rFonts w:hint="default" w:ascii="Times New Roman" w:hAnsi="Times New Roman" w:eastAsia="宋体" w:cs="Times New Roman"/>
          <w:color w:val="auto"/>
          <w:szCs w:val="21"/>
          <w:highlight w:val="none"/>
        </w:rPr>
        <w:t>的产品不符合</w:t>
      </w:r>
      <w:r>
        <w:rPr>
          <w:rFonts w:hint="default" w:ascii="Times New Roman" w:hAnsi="Times New Roman" w:eastAsia="宋体" w:cs="Times New Roman"/>
          <w:color w:val="auto"/>
          <w:szCs w:val="21"/>
          <w:highlight w:val="none"/>
          <w:lang w:eastAsia="zh-CN"/>
        </w:rPr>
        <w:t>合同约定的</w:t>
      </w:r>
      <w:r>
        <w:rPr>
          <w:rFonts w:hint="default" w:ascii="Times New Roman" w:hAnsi="Times New Roman" w:eastAsia="宋体" w:cs="Times New Roman"/>
          <w:color w:val="auto"/>
          <w:szCs w:val="21"/>
          <w:highlight w:val="none"/>
        </w:rPr>
        <w:t>质量标准或存在产品质量缺陷，</w:t>
      </w:r>
      <w:r>
        <w:rPr>
          <w:rFonts w:hint="default" w:ascii="Times New Roman" w:hAnsi="Times New Roman" w:eastAsia="宋体" w:cs="Times New Roman"/>
          <w:color w:val="auto"/>
          <w:szCs w:val="21"/>
          <w:highlight w:val="none"/>
          <w:lang w:eastAsia="zh-CN"/>
        </w:rPr>
        <w:t>甲方有权要求乙方根据</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 w:val="0"/>
          <w:bCs/>
          <w:color w:val="auto"/>
          <w:szCs w:val="21"/>
          <w:highlight w:val="none"/>
          <w:lang w:eastAsia="zh-CN"/>
        </w:rPr>
        <w:t>要求</w:t>
      </w:r>
      <w:r>
        <w:rPr>
          <w:rFonts w:hint="default" w:ascii="Times New Roman" w:hAnsi="Times New Roman" w:eastAsia="宋体" w:cs="Times New Roman"/>
          <w:color w:val="auto"/>
          <w:szCs w:val="21"/>
          <w:highlight w:val="none"/>
          <w:lang w:eastAsia="zh-CN"/>
        </w:rPr>
        <w:t>及时修理、重作、更换，并承担由此给甲</w:t>
      </w:r>
      <w:r>
        <w:rPr>
          <w:rFonts w:hint="default" w:ascii="Times New Roman" w:hAnsi="Times New Roman" w:eastAsia="宋体" w:cs="Times New Roman"/>
          <w:color w:val="auto"/>
          <w:szCs w:val="21"/>
          <w:highlight w:val="none"/>
        </w:rPr>
        <w:t>方</w:t>
      </w:r>
      <w:r>
        <w:rPr>
          <w:rFonts w:hint="default" w:ascii="Times New Roman" w:hAnsi="Times New Roman" w:eastAsia="宋体" w:cs="Times New Roman"/>
          <w:color w:val="auto"/>
          <w:szCs w:val="21"/>
          <w:highlight w:val="none"/>
          <w:lang w:eastAsia="zh-CN"/>
        </w:rPr>
        <w:t>造成的损失</w:t>
      </w:r>
      <w:r>
        <w:rPr>
          <w:rFonts w:hint="default" w:ascii="Times New Roman" w:hAnsi="Times New Roman" w:eastAsia="宋体" w:cs="Times New Roman"/>
          <w:color w:val="auto"/>
          <w:szCs w:val="21"/>
          <w:highlight w:val="none"/>
        </w:rPr>
        <w:t>。</w:t>
      </w:r>
    </w:p>
    <w:p w14:paraId="6BF5A32D">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r>
        <w:rPr>
          <w:rFonts w:hint="default" w:ascii="Times New Roman" w:hAnsi="Times New Roman" w:eastAsia="宋体" w:cs="Times New Roman"/>
          <w:bCs/>
          <w:color w:val="auto"/>
          <w:szCs w:val="21"/>
          <w:highlight w:val="none"/>
          <w:lang w:eastAsia="zh-CN"/>
        </w:rPr>
        <w:t>5</w:t>
      </w:r>
      <w:r>
        <w:rPr>
          <w:rFonts w:hint="default" w:ascii="Times New Roman" w:hAnsi="Times New Roman" w:eastAsia="宋体" w:cs="Times New Roman"/>
          <w:bCs/>
          <w:color w:val="auto"/>
          <w:szCs w:val="21"/>
          <w:highlight w:val="none"/>
        </w:rPr>
        <w:t>.2 迟延交货的违约责任</w:t>
      </w:r>
    </w:p>
    <w:p w14:paraId="1C242E31">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（1）乙方应按照本合同规定的时间、地点交货和提供</w:t>
      </w:r>
      <w:r>
        <w:rPr>
          <w:rFonts w:hint="default" w:ascii="Times New Roman" w:hAnsi="Times New Roman" w:eastAsia="宋体" w:cs="Times New Roman"/>
          <w:color w:val="auto"/>
          <w:szCs w:val="21"/>
          <w:highlight w:val="none"/>
          <w:lang w:eastAsia="zh-CN"/>
        </w:rPr>
        <w:t>相关</w:t>
      </w:r>
      <w:r>
        <w:rPr>
          <w:rFonts w:hint="default" w:ascii="Times New Roman" w:hAnsi="Times New Roman" w:eastAsia="宋体" w:cs="Times New Roman"/>
          <w:color w:val="auto"/>
          <w:szCs w:val="21"/>
          <w:highlight w:val="none"/>
        </w:rPr>
        <w:t>服务。在履行合同过程中，如果乙方遇到可能</w:t>
      </w:r>
      <w:r>
        <w:rPr>
          <w:rFonts w:hint="default" w:ascii="Times New Roman" w:hAnsi="Times New Roman" w:eastAsia="宋体" w:cs="Times New Roman"/>
          <w:color w:val="auto"/>
          <w:szCs w:val="21"/>
          <w:highlight w:val="none"/>
          <w:lang w:eastAsia="zh-CN"/>
        </w:rPr>
        <w:t>影响</w:t>
      </w:r>
      <w:r>
        <w:rPr>
          <w:rFonts w:hint="default" w:ascii="Times New Roman" w:hAnsi="Times New Roman" w:eastAsia="宋体" w:cs="Times New Roman"/>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default" w:ascii="Times New Roman" w:hAnsi="Times New Roman" w:eastAsia="宋体" w:cs="Times New Roman"/>
          <w:color w:val="auto"/>
          <w:szCs w:val="21"/>
          <w:highlight w:val="none"/>
          <w:lang w:eastAsia="zh-CN"/>
        </w:rPr>
        <w:t>长</w:t>
      </w:r>
      <w:r>
        <w:rPr>
          <w:rFonts w:hint="default" w:ascii="Times New Roman" w:hAnsi="Times New Roman" w:eastAsia="宋体" w:cs="Times New Roman"/>
          <w:color w:val="auto"/>
          <w:szCs w:val="21"/>
          <w:highlight w:val="none"/>
        </w:rPr>
        <w:t>交货时间或延期提供服务。</w:t>
      </w:r>
    </w:p>
    <w:p w14:paraId="45979D55">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（2）如果乙方没有按照合同规定的时间交货和提供</w:t>
      </w:r>
      <w:r>
        <w:rPr>
          <w:rFonts w:hint="default" w:ascii="Times New Roman" w:hAnsi="Times New Roman" w:eastAsia="宋体" w:cs="Times New Roman"/>
          <w:color w:val="auto"/>
          <w:szCs w:val="21"/>
          <w:highlight w:val="none"/>
          <w:lang w:eastAsia="zh-CN"/>
        </w:rPr>
        <w:t>相关</w:t>
      </w:r>
      <w:r>
        <w:rPr>
          <w:rFonts w:hint="default" w:ascii="Times New Roman" w:hAnsi="Times New Roman" w:eastAsia="宋体" w:cs="Times New Roman"/>
          <w:color w:val="auto"/>
          <w:szCs w:val="21"/>
          <w:highlight w:val="none"/>
        </w:rPr>
        <w:t>服务，甲方有权从货款中扣除误期赔偿费而不影响合同项下的其他补救方法，赔偿费按</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color w:val="auto"/>
          <w:szCs w:val="21"/>
          <w:highlight w:val="none"/>
        </w:rPr>
        <w:t>规定执行。如果涉及公共利益，且赔偿金额无法弥补公共利益损失，</w:t>
      </w:r>
      <w:r>
        <w:rPr>
          <w:rFonts w:hint="default" w:ascii="Times New Roman" w:hAnsi="Times New Roman" w:eastAsia="宋体" w:cs="Times New Roman"/>
          <w:color w:val="auto"/>
          <w:szCs w:val="21"/>
          <w:highlight w:val="none"/>
          <w:lang w:eastAsia="zh-CN"/>
        </w:rPr>
        <w:t>甲方</w:t>
      </w:r>
      <w:r>
        <w:rPr>
          <w:rFonts w:hint="default" w:ascii="Times New Roman" w:hAnsi="Times New Roman" w:eastAsia="宋体" w:cs="Times New Roman"/>
          <w:color w:val="auto"/>
          <w:szCs w:val="21"/>
          <w:highlight w:val="none"/>
        </w:rPr>
        <w:t>可要求继续履行或者</w:t>
      </w:r>
      <w:r>
        <w:rPr>
          <w:rFonts w:hint="default" w:ascii="Times New Roman" w:hAnsi="Times New Roman" w:eastAsia="宋体" w:cs="Times New Roman"/>
          <w:color w:val="auto"/>
          <w:szCs w:val="21"/>
          <w:highlight w:val="none"/>
          <w:lang w:eastAsia="zh-CN"/>
        </w:rPr>
        <w:t>采取其他补救措施</w:t>
      </w:r>
      <w:r>
        <w:rPr>
          <w:rFonts w:hint="default" w:ascii="Times New Roman" w:hAnsi="Times New Roman" w:eastAsia="宋体" w:cs="Times New Roman"/>
          <w:color w:val="auto"/>
          <w:szCs w:val="21"/>
          <w:highlight w:val="none"/>
        </w:rPr>
        <w:t>。</w:t>
      </w:r>
    </w:p>
    <w:p w14:paraId="5B823DA0">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eastAsia="zh-CN"/>
        </w:rPr>
        <w:t>5</w:t>
      </w:r>
      <w:r>
        <w:rPr>
          <w:rFonts w:hint="default" w:ascii="Times New Roman" w:hAnsi="Times New Roman" w:eastAsia="宋体" w:cs="Times New Roman"/>
          <w:color w:val="auto"/>
          <w:szCs w:val="21"/>
          <w:highlight w:val="none"/>
        </w:rPr>
        <w:t>.3 迟延支付的违约责任</w:t>
      </w:r>
    </w:p>
    <w:p w14:paraId="30299E69">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甲方存在迟延支付乙方合同款项的，应当承担</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规定的逾期付款利息。</w:t>
      </w:r>
    </w:p>
    <w:p w14:paraId="135B719D">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1</w:t>
      </w:r>
      <w:r>
        <w:rPr>
          <w:rFonts w:hint="default" w:ascii="Times New Roman" w:hAnsi="Times New Roman" w:eastAsia="宋体" w:cs="Times New Roman"/>
          <w:bCs/>
          <w:color w:val="auto"/>
          <w:szCs w:val="21"/>
          <w:highlight w:val="none"/>
          <w:lang w:eastAsia="zh-CN"/>
        </w:rPr>
        <w:t>5</w:t>
      </w:r>
      <w:r>
        <w:rPr>
          <w:rFonts w:hint="default" w:ascii="Times New Roman" w:hAnsi="Times New Roman" w:eastAsia="宋体" w:cs="Times New Roman"/>
          <w:bCs/>
          <w:color w:val="auto"/>
          <w:szCs w:val="21"/>
          <w:highlight w:val="none"/>
        </w:rPr>
        <w:t>.4其他违约责任根据项目实际需要按</w:t>
      </w:r>
      <w:r>
        <w:rPr>
          <w:rFonts w:hint="default" w:ascii="Times New Roman" w:hAnsi="Times New Roman" w:eastAsia="宋体" w:cs="Times New Roman"/>
          <w:b/>
          <w:bCs/>
          <w:color w:val="auto"/>
          <w:szCs w:val="21"/>
          <w:highlight w:val="none"/>
        </w:rPr>
        <w:t>【政府采购合同专用条款】</w:t>
      </w:r>
      <w:r>
        <w:rPr>
          <w:rFonts w:hint="default" w:ascii="Times New Roman" w:hAnsi="Times New Roman" w:eastAsia="宋体" w:cs="Times New Roman"/>
          <w:color w:val="auto"/>
          <w:szCs w:val="21"/>
          <w:highlight w:val="none"/>
        </w:rPr>
        <w:t>规定执行。</w:t>
      </w:r>
    </w:p>
    <w:p w14:paraId="5BCEFE7C">
      <w:pPr>
        <w:numPr>
          <w:ilvl w:val="0"/>
          <w:numId w:val="8"/>
        </w:numPr>
        <w:autoSpaceDE w:val="0"/>
        <w:autoSpaceDN w:val="0"/>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合同变更</w:t>
      </w:r>
      <w:r>
        <w:rPr>
          <w:rFonts w:hint="default" w:ascii="Times New Roman" w:hAnsi="Times New Roman" w:eastAsia="宋体" w:cs="Times New Roman"/>
          <w:b/>
          <w:color w:val="auto"/>
          <w:sz w:val="24"/>
          <w:highlight w:val="none"/>
          <w:lang w:eastAsia="zh-CN"/>
        </w:rPr>
        <w:t>、中止与终止</w:t>
      </w:r>
    </w:p>
    <w:p w14:paraId="2B5CF050">
      <w:pPr>
        <w:autoSpaceDE/>
        <w:autoSpaceDN/>
        <w:adjustRightInd w:val="0"/>
        <w:snapToGrid w:val="0"/>
        <w:spacing w:before="0" w:line="400" w:lineRule="exact"/>
        <w:ind w:firstLine="0" w:firstLineChars="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.1合同的</w:t>
      </w:r>
      <w:r>
        <w:rPr>
          <w:rFonts w:hint="default" w:ascii="Times New Roman" w:hAnsi="Times New Roman" w:eastAsia="宋体" w:cs="Times New Roman"/>
          <w:color w:val="auto"/>
          <w:szCs w:val="21"/>
          <w:highlight w:val="none"/>
          <w:lang w:eastAsia="zh-CN"/>
        </w:rPr>
        <w:t>变更</w:t>
      </w:r>
    </w:p>
    <w:p w14:paraId="612CD018">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政府采购合同履行中，</w:t>
      </w:r>
      <w:r>
        <w:rPr>
          <w:rFonts w:hint="default" w:ascii="Times New Roman" w:hAnsi="Times New Roman" w:eastAsia="宋体" w:cs="Times New Roman"/>
          <w:color w:val="auto"/>
          <w:szCs w:val="21"/>
          <w:highlight w:val="none"/>
        </w:rPr>
        <w:t>在不改变合同其他条款的前提下，甲方可以在合同价款10%的范围内追加与合同标的相同的货物，并就此与乙方协商</w:t>
      </w:r>
      <w:r>
        <w:rPr>
          <w:rFonts w:hint="default" w:ascii="Times New Roman" w:hAnsi="Times New Roman" w:eastAsia="宋体" w:cs="Times New Roman"/>
          <w:color w:val="auto"/>
          <w:szCs w:val="21"/>
          <w:highlight w:val="none"/>
          <w:lang w:eastAsia="zh-CN"/>
        </w:rPr>
        <w:t>一致后</w:t>
      </w:r>
      <w:r>
        <w:rPr>
          <w:rFonts w:hint="default" w:ascii="Times New Roman" w:hAnsi="Times New Roman" w:eastAsia="宋体" w:cs="Times New Roman"/>
          <w:color w:val="auto"/>
          <w:szCs w:val="21"/>
          <w:highlight w:val="none"/>
        </w:rPr>
        <w:t>签订补充协议。</w:t>
      </w:r>
    </w:p>
    <w:p w14:paraId="6F770E4D">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合同的中止</w:t>
      </w:r>
    </w:p>
    <w:p w14:paraId="560A05CD">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（1）合同履行过程中因供应商就采购文件、采购过程或结果提起投诉的，甲方认为有必要的，</w:t>
      </w:r>
      <w:r>
        <w:rPr>
          <w:rFonts w:hint="default" w:ascii="Times New Roman" w:hAnsi="Times New Roman" w:eastAsia="宋体" w:cs="Times New Roman"/>
          <w:color w:val="auto"/>
          <w:szCs w:val="21"/>
          <w:highlight w:val="none"/>
          <w:lang w:eastAsia="zh-CN"/>
        </w:rPr>
        <w:t>可以</w:t>
      </w:r>
      <w:r>
        <w:rPr>
          <w:rFonts w:hint="default" w:ascii="Times New Roman" w:hAnsi="Times New Roman" w:eastAsia="宋体" w:cs="Times New Roman"/>
          <w:color w:val="auto"/>
          <w:szCs w:val="21"/>
          <w:highlight w:val="none"/>
        </w:rPr>
        <w:t>中止合同的履行。</w:t>
      </w:r>
    </w:p>
    <w:p w14:paraId="271E4937">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合同履行过程中，</w:t>
      </w:r>
      <w:r>
        <w:rPr>
          <w:rFonts w:hint="default" w:ascii="Times New Roman" w:hAnsi="Times New Roman" w:eastAsia="宋体" w:cs="Times New Roman"/>
          <w:color w:val="auto"/>
          <w:szCs w:val="21"/>
          <w:highlight w:val="none"/>
        </w:rPr>
        <w:t>如果乙方出现以下情形之一的：1．经营状况严重恶化；2．转移财产、抽逃资金，以逃避债务；3．丧失商业信誉；4．有丧失或者可能丧失履约能力的其他情形</w:t>
      </w:r>
      <w:r>
        <w:rPr>
          <w:rFonts w:hint="default" w:ascii="Times New Roman" w:hAnsi="Times New Roman" w:eastAsia="宋体" w:cs="Times New Roman"/>
          <w:color w:val="auto"/>
          <w:szCs w:val="21"/>
          <w:highlight w:val="none"/>
          <w:lang w:eastAsia="zh-CN"/>
        </w:rPr>
        <w:t>，乙方有义务及时告知甲方</w:t>
      </w:r>
      <w:r>
        <w:rPr>
          <w:rFonts w:hint="default" w:ascii="Times New Roman" w:hAnsi="Times New Roman" w:eastAsia="宋体" w:cs="Times New Roman"/>
          <w:color w:val="auto"/>
          <w:szCs w:val="21"/>
          <w:highlight w:val="none"/>
        </w:rPr>
        <w:t>。甲方</w:t>
      </w:r>
      <w:r>
        <w:rPr>
          <w:rFonts w:hint="default" w:ascii="Times New Roman" w:hAnsi="Times New Roman" w:eastAsia="宋体" w:cs="Times New Roman"/>
          <w:color w:val="auto"/>
          <w:szCs w:val="21"/>
          <w:highlight w:val="none"/>
          <w:lang w:eastAsia="zh-CN"/>
        </w:rPr>
        <w:t>有权</w:t>
      </w:r>
      <w:r>
        <w:rPr>
          <w:rFonts w:hint="default" w:ascii="Times New Roman" w:hAnsi="Times New Roman" w:eastAsia="宋体" w:cs="Times New Roman"/>
          <w:color w:val="auto"/>
          <w:szCs w:val="21"/>
          <w:highlight w:val="none"/>
        </w:rPr>
        <w:t>以书面形式通知乙方中止合同</w:t>
      </w:r>
      <w:r>
        <w:rPr>
          <w:rFonts w:hint="default" w:ascii="Times New Roman" w:hAnsi="Times New Roman" w:eastAsia="宋体" w:cs="Times New Roman"/>
          <w:color w:val="auto"/>
          <w:szCs w:val="21"/>
          <w:highlight w:val="none"/>
          <w:lang w:eastAsia="zh-CN"/>
        </w:rPr>
        <w:t>并要求乙方在合理期限内消除相关情形或者提供适当担保。</w:t>
      </w:r>
      <w:r>
        <w:rPr>
          <w:rFonts w:hint="default" w:ascii="Times New Roman" w:hAnsi="Times New Roman" w:eastAsia="宋体" w:cs="Times New Roman"/>
          <w:color w:val="auto"/>
          <w:szCs w:val="21"/>
          <w:highlight w:val="none"/>
        </w:rPr>
        <w:t>乙方提供适当担保的，</w:t>
      </w:r>
      <w:r>
        <w:rPr>
          <w:rFonts w:hint="default" w:ascii="Times New Roman" w:hAnsi="Times New Roman" w:eastAsia="宋体" w:cs="Times New Roman"/>
          <w:color w:val="auto"/>
          <w:szCs w:val="21"/>
          <w:highlight w:val="none"/>
          <w:lang w:eastAsia="zh-CN"/>
        </w:rPr>
        <w:t>合同继续</w:t>
      </w:r>
      <w:r>
        <w:rPr>
          <w:rFonts w:hint="default" w:ascii="Times New Roman" w:hAnsi="Times New Roman" w:eastAsia="宋体" w:cs="Times New Roman"/>
          <w:color w:val="auto"/>
          <w:szCs w:val="21"/>
          <w:highlight w:val="none"/>
        </w:rPr>
        <w:t>履行</w:t>
      </w:r>
      <w:r>
        <w:rPr>
          <w:rFonts w:hint="default" w:ascii="Times New Roman" w:hAnsi="Times New Roman" w:eastAsia="宋体" w:cs="Times New Roman"/>
          <w:color w:val="auto"/>
          <w:szCs w:val="21"/>
          <w:highlight w:val="none"/>
          <w:lang w:eastAsia="zh-CN"/>
        </w:rPr>
        <w:t>；乙</w:t>
      </w:r>
      <w:r>
        <w:rPr>
          <w:rFonts w:hint="default" w:ascii="Times New Roman" w:hAnsi="Times New Roman" w:eastAsia="宋体" w:cs="Times New Roman"/>
          <w:color w:val="auto"/>
          <w:szCs w:val="21"/>
          <w:highlight w:val="none"/>
        </w:rPr>
        <w:t>方在合理期限内未恢复履约能力且未提供适当担保的，视为拒绝</w:t>
      </w:r>
      <w:r>
        <w:rPr>
          <w:rFonts w:hint="default" w:ascii="Times New Roman" w:hAnsi="Times New Roman" w:eastAsia="宋体" w:cs="Times New Roman"/>
          <w:color w:val="auto"/>
          <w:szCs w:val="21"/>
          <w:highlight w:val="none"/>
          <w:lang w:eastAsia="zh-CN"/>
        </w:rPr>
        <w:t>继续</w:t>
      </w:r>
      <w:r>
        <w:rPr>
          <w:rFonts w:hint="default" w:ascii="Times New Roman" w:hAnsi="Times New Roman" w:eastAsia="宋体" w:cs="Times New Roman"/>
          <w:color w:val="auto"/>
          <w:szCs w:val="21"/>
          <w:highlight w:val="none"/>
        </w:rPr>
        <w:t>履约，甲方</w:t>
      </w:r>
      <w:r>
        <w:rPr>
          <w:rFonts w:hint="default" w:ascii="Times New Roman" w:hAnsi="Times New Roman" w:eastAsia="宋体" w:cs="Times New Roman"/>
          <w:color w:val="auto"/>
          <w:szCs w:val="21"/>
          <w:highlight w:val="none"/>
          <w:lang w:eastAsia="zh-CN"/>
        </w:rPr>
        <w:t>有权</w:t>
      </w:r>
      <w:r>
        <w:rPr>
          <w:rFonts w:hint="default" w:ascii="Times New Roman" w:hAnsi="Times New Roman" w:eastAsia="宋体" w:cs="Times New Roman"/>
          <w:color w:val="auto"/>
          <w:szCs w:val="21"/>
          <w:highlight w:val="none"/>
        </w:rPr>
        <w:t>解除合同并要求乙方承担</w:t>
      </w:r>
      <w:r>
        <w:rPr>
          <w:rFonts w:hint="default" w:ascii="Times New Roman" w:hAnsi="Times New Roman" w:eastAsia="宋体" w:cs="Times New Roman"/>
          <w:color w:val="auto"/>
          <w:szCs w:val="21"/>
          <w:highlight w:val="none"/>
          <w:lang w:eastAsia="zh-CN"/>
        </w:rPr>
        <w:t>由此给甲方造成的损失</w:t>
      </w:r>
      <w:r>
        <w:rPr>
          <w:rFonts w:hint="default" w:ascii="Times New Roman" w:hAnsi="Times New Roman" w:eastAsia="宋体" w:cs="Times New Roman"/>
          <w:color w:val="auto"/>
          <w:szCs w:val="21"/>
          <w:highlight w:val="none"/>
        </w:rPr>
        <w:t>。</w:t>
      </w:r>
    </w:p>
    <w:p w14:paraId="0494AF0C">
      <w:pPr>
        <w:autoSpaceDE w:val="0"/>
        <w:autoSpaceDN w:val="0"/>
        <w:adjustRightInd w:val="0"/>
        <w:spacing w:line="400" w:lineRule="exact"/>
        <w:ind w:firstLine="420" w:firstLineChars="200"/>
        <w:jc w:val="both"/>
        <w:rPr>
          <w:rFonts w:hint="default" w:ascii="Times New Roman" w:hAnsi="Times New Roman" w:eastAsia="华文楷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4591D8D9">
      <w:pPr>
        <w:snapToGrid w:val="0"/>
        <w:spacing w:line="400" w:lineRule="exact"/>
        <w:ind w:firstLine="420" w:firstLineChars="200"/>
        <w:jc w:val="left"/>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）甲方不得以行政区划调整、政府换届、机构或者职能调整以及相关责任人更替为由中止合同。</w:t>
      </w:r>
    </w:p>
    <w:p w14:paraId="74A9B6A2">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合同的终止</w:t>
      </w:r>
    </w:p>
    <w:p w14:paraId="1EBB9039">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（1）合同因有效期限届满而终止；</w:t>
      </w:r>
    </w:p>
    <w:p w14:paraId="4386B906">
      <w:pPr>
        <w:snapToGrid w:val="0"/>
        <w:spacing w:line="400" w:lineRule="exact"/>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（2）乙方未</w:t>
      </w:r>
      <w:r>
        <w:rPr>
          <w:rFonts w:hint="default" w:ascii="Times New Roman" w:hAnsi="Times New Roman" w:eastAsia="宋体" w:cs="Times New Roman"/>
          <w:color w:val="auto"/>
          <w:szCs w:val="21"/>
          <w:highlight w:val="none"/>
          <w:lang w:eastAsia="zh-CN"/>
        </w:rPr>
        <w:t>按</w:t>
      </w:r>
      <w:r>
        <w:rPr>
          <w:rFonts w:hint="default" w:ascii="Times New Roman" w:hAnsi="Times New Roman" w:eastAsia="宋体" w:cs="Times New Roman"/>
          <w:color w:val="auto"/>
          <w:szCs w:val="21"/>
          <w:highlight w:val="none"/>
        </w:rPr>
        <w:t>合同约定履行，构成根本性违约的，甲方有权终止合同</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并追究乙方的违约责</w:t>
      </w:r>
      <w:r>
        <w:rPr>
          <w:rFonts w:hint="default" w:ascii="Times New Roman" w:hAnsi="Times New Roman" w:eastAsia="宋体" w:cs="Times New Roman"/>
          <w:color w:val="auto"/>
          <w:szCs w:val="21"/>
          <w:highlight w:val="none"/>
          <w:lang w:val="en-US" w:eastAsia="zh-CN"/>
        </w:rPr>
        <w:t>任</w:t>
      </w:r>
      <w:r>
        <w:rPr>
          <w:rFonts w:hint="default" w:ascii="Times New Roman" w:hAnsi="Times New Roman" w:eastAsia="宋体" w:cs="Times New Roman"/>
          <w:color w:val="auto"/>
          <w:szCs w:val="21"/>
          <w:highlight w:val="none"/>
        </w:rPr>
        <w:t>。</w:t>
      </w:r>
    </w:p>
    <w:p w14:paraId="40B0A2E8">
      <w:pPr>
        <w:autoSpaceDE w:val="0"/>
        <w:autoSpaceDN w:val="0"/>
        <w:adjustRightInd w:val="0"/>
        <w:spacing w:line="400" w:lineRule="exact"/>
        <w:ind w:firstLine="440" w:firstLineChars="200"/>
        <w:rPr>
          <w:rFonts w:hint="default" w:ascii="Times New Roman" w:hAnsi="Times New Roman" w:eastAsia="华文楷体" w:cs="Times New Roman"/>
          <w:color w:val="auto"/>
          <w:sz w:val="22"/>
          <w:szCs w:val="21"/>
          <w:highlight w:val="none"/>
          <w:lang w:val="en-US" w:eastAsia="zh-CN" w:bidi="ar-SA"/>
        </w:rPr>
      </w:pPr>
      <w:r>
        <w:rPr>
          <w:rFonts w:hint="default" w:ascii="Times New Roman" w:hAnsi="Times New Roman" w:eastAsia="华文楷体" w:cs="Times New Roman"/>
          <w:color w:val="auto"/>
          <w:sz w:val="22"/>
          <w:szCs w:val="21"/>
          <w:highlight w:val="none"/>
          <w:lang w:val="en-US" w:eastAsia="zh-CN" w:bidi="ar-SA"/>
        </w:rPr>
        <w:t xml:space="preserve">16.4 </w:t>
      </w:r>
      <w:r>
        <w:rPr>
          <w:rFonts w:hint="default" w:ascii="Times New Roman" w:hAnsi="Times New Roman" w:eastAsia="宋体" w:cs="Times New Roman"/>
          <w:color w:val="auto"/>
          <w:kern w:val="2"/>
          <w:sz w:val="21"/>
          <w:szCs w:val="21"/>
          <w:highlight w:val="none"/>
          <w:lang w:val="en-US" w:eastAsia="zh-CN" w:bidi="ar-SA"/>
        </w:rPr>
        <w:t>涉及国家利益、社会公共利益的情形</w:t>
      </w:r>
    </w:p>
    <w:p w14:paraId="42D0702A">
      <w:pPr>
        <w:autoSpaceDE w:val="0"/>
        <w:autoSpaceDN w:val="0"/>
        <w:adjustRightInd w:val="0"/>
        <w:spacing w:line="400" w:lineRule="exact"/>
        <w:ind w:firstLine="420" w:firstLineChars="200"/>
        <w:jc w:val="both"/>
        <w:rPr>
          <w:rFonts w:hint="default" w:ascii="Times New Roman" w:hAnsi="Times New Roman" w:eastAsia="华文楷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政府采购合同继续履行将损害国家利益和社会公共利益的，双方当事人应当变更、中止或者终止合同。有过错的一方应当承担赔偿责任，双方都有过错的，各自承担相应的责任。</w:t>
      </w:r>
    </w:p>
    <w:p w14:paraId="4EBDFF95">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w:t>
      </w:r>
      <w:r>
        <w:rPr>
          <w:rFonts w:hint="default" w:ascii="Times New Roman" w:hAnsi="Times New Roman" w:eastAsia="宋体" w:cs="Times New Roman"/>
          <w:b/>
          <w:bCs/>
          <w:color w:val="auto"/>
          <w:sz w:val="24"/>
          <w:highlight w:val="none"/>
          <w:lang w:val="en-US" w:eastAsia="zh-CN"/>
        </w:rPr>
        <w:t>7</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合同分包</w:t>
      </w:r>
    </w:p>
    <w:p w14:paraId="1EC829ED">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.1 乙方不得</w:t>
      </w:r>
      <w:r>
        <w:rPr>
          <w:rFonts w:hint="default" w:ascii="Times New Roman" w:hAnsi="Times New Roman" w:eastAsia="宋体" w:cs="Times New Roman"/>
          <w:color w:val="auto"/>
          <w:szCs w:val="21"/>
          <w:highlight w:val="none"/>
          <w:lang w:eastAsia="zh-CN"/>
        </w:rPr>
        <w:t>将合同转包给其他供应商。涉及合同分包的，乙方</w:t>
      </w:r>
      <w:r>
        <w:rPr>
          <w:rFonts w:hint="default" w:ascii="Times New Roman" w:hAnsi="Times New Roman" w:eastAsia="宋体" w:cs="Times New Roman"/>
          <w:color w:val="auto"/>
          <w:szCs w:val="21"/>
          <w:highlight w:val="none"/>
          <w:lang w:val="en-US" w:eastAsia="zh-CN"/>
        </w:rPr>
        <w:t>应</w:t>
      </w:r>
      <w:r>
        <w:rPr>
          <w:rFonts w:hint="default" w:ascii="Times New Roman" w:hAnsi="Times New Roman" w:eastAsia="宋体" w:cs="Times New Roman"/>
          <w:color w:val="auto"/>
          <w:szCs w:val="21"/>
          <w:highlight w:val="none"/>
          <w:lang w:eastAsia="zh-CN"/>
        </w:rPr>
        <w:t>根据采购文件和投标（响应）文件规定进行</w:t>
      </w:r>
      <w:r>
        <w:rPr>
          <w:rFonts w:hint="default" w:ascii="Times New Roman" w:hAnsi="Times New Roman" w:eastAsia="宋体" w:cs="Times New Roman"/>
          <w:color w:val="auto"/>
          <w:szCs w:val="21"/>
          <w:highlight w:val="none"/>
        </w:rPr>
        <w:t>合同分包。</w:t>
      </w:r>
    </w:p>
    <w:p w14:paraId="1D3C75E6">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.2 乙方执行政府采购政策向中小企业依法分包的</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乙方应当按采购文件</w:t>
      </w:r>
      <w:r>
        <w:rPr>
          <w:rFonts w:hint="default" w:ascii="Times New Roman" w:hAnsi="Times New Roman" w:eastAsia="宋体" w:cs="Times New Roman"/>
          <w:color w:val="auto"/>
          <w:szCs w:val="21"/>
          <w:highlight w:val="none"/>
          <w:lang w:eastAsia="zh-CN"/>
        </w:rPr>
        <w:t>和</w:t>
      </w:r>
      <w:r>
        <w:rPr>
          <w:rFonts w:hint="default" w:ascii="Times New Roman" w:hAnsi="Times New Roman" w:eastAsia="宋体" w:cs="Times New Roman"/>
          <w:color w:val="auto"/>
          <w:szCs w:val="21"/>
          <w:highlight w:val="none"/>
        </w:rPr>
        <w:t>投标（响应）文件签订分包</w:t>
      </w:r>
      <w:r>
        <w:rPr>
          <w:rFonts w:hint="default" w:ascii="Times New Roman" w:hAnsi="Times New Roman" w:eastAsia="宋体" w:cs="Times New Roman"/>
          <w:color w:val="auto"/>
          <w:szCs w:val="21"/>
          <w:highlight w:val="none"/>
          <w:lang w:eastAsia="zh-CN"/>
        </w:rPr>
        <w:t>意向</w:t>
      </w:r>
      <w:r>
        <w:rPr>
          <w:rFonts w:hint="default" w:ascii="Times New Roman" w:hAnsi="Times New Roman" w:eastAsia="宋体" w:cs="Times New Roman"/>
          <w:color w:val="auto"/>
          <w:szCs w:val="21"/>
          <w:highlight w:val="none"/>
        </w:rPr>
        <w:t>协议，分包</w:t>
      </w:r>
      <w:r>
        <w:rPr>
          <w:rFonts w:hint="default" w:ascii="Times New Roman" w:hAnsi="Times New Roman" w:eastAsia="宋体" w:cs="Times New Roman"/>
          <w:color w:val="auto"/>
          <w:szCs w:val="21"/>
          <w:highlight w:val="none"/>
          <w:lang w:eastAsia="zh-CN"/>
        </w:rPr>
        <w:t>意向</w:t>
      </w:r>
      <w:r>
        <w:rPr>
          <w:rFonts w:hint="default" w:ascii="Times New Roman" w:hAnsi="Times New Roman" w:eastAsia="宋体" w:cs="Times New Roman"/>
          <w:color w:val="auto"/>
          <w:szCs w:val="21"/>
          <w:highlight w:val="none"/>
        </w:rPr>
        <w:t>协议属于本合同组成部分。</w:t>
      </w:r>
    </w:p>
    <w:p w14:paraId="70B9F42B">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eastAsia="zh-CN"/>
        </w:rPr>
        <w:t>1</w:t>
      </w:r>
      <w:r>
        <w:rPr>
          <w:rFonts w:hint="default" w:ascii="Times New Roman" w:hAnsi="Times New Roman" w:eastAsia="宋体" w:cs="Times New Roman"/>
          <w:b/>
          <w:bCs/>
          <w:color w:val="auto"/>
          <w:sz w:val="24"/>
          <w:highlight w:val="none"/>
          <w:lang w:val="en-US" w:eastAsia="zh-CN"/>
        </w:rPr>
        <w:t>8</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不可抗力</w:t>
      </w:r>
    </w:p>
    <w:p w14:paraId="11D96D06">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1</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.1 不可抗力是指合同双方不能预见、不能避免且不能克服的客观情况。</w:t>
      </w:r>
    </w:p>
    <w:p w14:paraId="6BF833CC">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1</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.2 任何一方对由于不可抗力造成的部分或全部不能履行合同不承担违约责任。但迟延履行后发生不可抗力的，不能免除责任。</w:t>
      </w:r>
    </w:p>
    <w:p w14:paraId="1D894A9C">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1</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.3 遇有不可抗力的一方，应及时将事件情况以书面形式</w:t>
      </w:r>
      <w:r>
        <w:rPr>
          <w:rFonts w:hint="default" w:ascii="Times New Roman" w:hAnsi="Times New Roman" w:eastAsia="宋体" w:cs="Times New Roman"/>
          <w:color w:val="auto"/>
          <w:szCs w:val="21"/>
          <w:highlight w:val="none"/>
          <w:lang w:eastAsia="zh-CN"/>
        </w:rPr>
        <w:t>告</w:t>
      </w:r>
      <w:r>
        <w:rPr>
          <w:rFonts w:hint="default" w:ascii="Times New Roman" w:hAnsi="Times New Roman" w:eastAsia="宋体" w:cs="Times New Roman"/>
          <w:color w:val="auto"/>
          <w:szCs w:val="21"/>
          <w:highlight w:val="none"/>
        </w:rPr>
        <w:t>知另一方，并在事件发生后及时向另一方提交合同不能履行或部分不能履行或需要延期履行</w:t>
      </w:r>
      <w:r>
        <w:rPr>
          <w:rFonts w:hint="default" w:ascii="Times New Roman" w:hAnsi="Times New Roman" w:eastAsia="宋体" w:cs="Times New Roman"/>
          <w:color w:val="auto"/>
          <w:szCs w:val="21"/>
          <w:highlight w:val="none"/>
          <w:lang w:eastAsia="zh-CN"/>
        </w:rPr>
        <w:t>的详细</w:t>
      </w:r>
      <w:r>
        <w:rPr>
          <w:rFonts w:hint="default" w:ascii="Times New Roman" w:hAnsi="Times New Roman" w:eastAsia="宋体" w:cs="Times New Roman"/>
          <w:color w:val="auto"/>
          <w:szCs w:val="21"/>
          <w:highlight w:val="none"/>
        </w:rPr>
        <w:t>报告</w:t>
      </w:r>
      <w:r>
        <w:rPr>
          <w:rFonts w:hint="default" w:ascii="Times New Roman" w:hAnsi="Times New Roman" w:eastAsia="宋体" w:cs="Times New Roman"/>
          <w:color w:val="auto"/>
          <w:szCs w:val="21"/>
          <w:highlight w:val="none"/>
          <w:lang w:eastAsia="zh-CN"/>
        </w:rPr>
        <w:t>，以</w:t>
      </w:r>
      <w:r>
        <w:rPr>
          <w:rFonts w:hint="default" w:ascii="Times New Roman" w:hAnsi="Times New Roman" w:eastAsia="宋体" w:cs="Times New Roman"/>
          <w:color w:val="auto"/>
          <w:szCs w:val="21"/>
          <w:highlight w:val="none"/>
          <w:lang w:val="en-US" w:eastAsia="zh-CN"/>
        </w:rPr>
        <w:t>及证明不可抗力发生及其持续时间的证据</w:t>
      </w:r>
      <w:r>
        <w:rPr>
          <w:rFonts w:hint="default" w:ascii="Times New Roman" w:hAnsi="Times New Roman" w:eastAsia="宋体" w:cs="Times New Roman"/>
          <w:color w:val="auto"/>
          <w:szCs w:val="21"/>
          <w:highlight w:val="none"/>
        </w:rPr>
        <w:t>。</w:t>
      </w:r>
    </w:p>
    <w:p w14:paraId="3B4AA556">
      <w:pPr>
        <w:autoSpaceDE w:val="0"/>
        <w:autoSpaceDN w:val="0"/>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19</w:t>
      </w:r>
      <w:r>
        <w:rPr>
          <w:rFonts w:hint="default" w:ascii="Times New Roman" w:hAnsi="Times New Roman" w:eastAsia="宋体" w:cs="Times New Roman"/>
          <w:b/>
          <w:bCs/>
          <w:color w:val="auto"/>
          <w:sz w:val="24"/>
          <w:highlight w:val="none"/>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解决争议的方法</w:t>
      </w:r>
    </w:p>
    <w:p w14:paraId="096586FF">
      <w:pPr>
        <w:autoSpaceDE w:val="0"/>
        <w:autoSpaceDN w:val="0"/>
        <w:adjustRightInd w:val="0"/>
        <w:spacing w:line="400" w:lineRule="exact"/>
        <w:ind w:firstLine="420" w:firstLineChars="200"/>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157F59CD">
      <w:pPr>
        <w:autoSpaceDE w:val="0"/>
        <w:autoSpaceDN w:val="0"/>
        <w:adjustRightInd w:val="0"/>
        <w:spacing w:line="400" w:lineRule="exact"/>
        <w:ind w:firstLine="420" w:firstLineChars="200"/>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19.2 选择仲裁的，应在</w:t>
      </w:r>
      <w:r>
        <w:rPr>
          <w:rFonts w:hint="default" w:ascii="Times New Roman" w:hAnsi="Times New Roman" w:eastAsia="宋体" w:cs="Times New Roman"/>
          <w:b/>
          <w:bCs/>
          <w:color w:val="auto"/>
          <w:sz w:val="21"/>
          <w:szCs w:val="21"/>
          <w:highlight w:val="none"/>
          <w:lang w:val="en-US" w:eastAsia="zh-CN" w:bidi="ar-SA"/>
        </w:rPr>
        <w:t>【政府采购合同专用条款】</w:t>
      </w:r>
      <w:r>
        <w:rPr>
          <w:rFonts w:hint="default" w:ascii="Times New Roman" w:hAnsi="Times New Roman" w:eastAsia="宋体" w:cs="Times New Roman"/>
          <w:color w:val="auto"/>
          <w:sz w:val="21"/>
          <w:szCs w:val="21"/>
          <w:highlight w:val="none"/>
          <w:lang w:val="en-US" w:eastAsia="zh-CN" w:bidi="ar-SA"/>
        </w:rPr>
        <w:t>中明确仲裁机构及仲裁地；通过诉讼方式解决的，可以在</w:t>
      </w:r>
      <w:r>
        <w:rPr>
          <w:rFonts w:hint="default" w:ascii="Times New Roman" w:hAnsi="Times New Roman" w:eastAsia="宋体" w:cs="Times New Roman"/>
          <w:b/>
          <w:bCs/>
          <w:color w:val="auto"/>
          <w:sz w:val="21"/>
          <w:szCs w:val="21"/>
          <w:highlight w:val="none"/>
          <w:lang w:val="en-US" w:eastAsia="zh-CN" w:bidi="ar-SA"/>
        </w:rPr>
        <w:t>【政府采购合同专用条款】</w:t>
      </w:r>
      <w:r>
        <w:rPr>
          <w:rFonts w:hint="default" w:ascii="Times New Roman" w:hAnsi="Times New Roman" w:eastAsia="宋体" w:cs="Times New Roman"/>
          <w:color w:val="auto"/>
          <w:sz w:val="21"/>
          <w:szCs w:val="21"/>
          <w:highlight w:val="none"/>
          <w:lang w:val="en-US" w:eastAsia="zh-CN" w:bidi="ar-SA"/>
        </w:rPr>
        <w:t>中进一步约定选择与争议有实际联系的地点的人民法院管辖，但管辖法院的约定不得违反级别管辖和专属管辖的规定。</w:t>
      </w:r>
    </w:p>
    <w:p w14:paraId="7E9BD385">
      <w:pPr>
        <w:autoSpaceDE w:val="0"/>
        <w:autoSpaceDN w:val="0"/>
        <w:adjustRightInd w:val="0"/>
        <w:spacing w:line="400" w:lineRule="exact"/>
        <w:ind w:firstLine="420" w:firstLineChars="200"/>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19.3 如甲乙双方有争议的事项不影响合同其他部分的履行，在争议解决期间，合同其他部分应当继续履行。</w:t>
      </w:r>
    </w:p>
    <w:p w14:paraId="41E1C62F">
      <w:pPr>
        <w:autoSpaceDE w:val="0"/>
        <w:autoSpaceDN w:val="0"/>
        <w:adjustRightInd w:val="0"/>
        <w:snapToGrid w:val="0"/>
        <w:spacing w:before="0" w:line="400" w:lineRule="exact"/>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24"/>
          <w:highlight w:val="none"/>
          <w:lang w:val="en-US" w:eastAsia="zh-CN"/>
        </w:rPr>
        <w:t>20</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政府采购政策</w:t>
      </w:r>
    </w:p>
    <w:p w14:paraId="35E8432D">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20.1 </w:t>
      </w:r>
      <w:r>
        <w:rPr>
          <w:rFonts w:hint="default" w:ascii="Times New Roman" w:hAnsi="Times New Roman" w:eastAsia="宋体" w:cs="Times New Roman"/>
          <w:color w:val="auto"/>
          <w:highlight w:val="none"/>
          <w:lang w:val="en-GB"/>
        </w:rPr>
        <w:t>本合同应当按照规定执行政府采购政策。</w:t>
      </w:r>
    </w:p>
    <w:p w14:paraId="2B29E04B">
      <w:pPr>
        <w:autoSpaceDE w:val="0"/>
        <w:autoSpaceDN w:val="0"/>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 xml:space="preserve"> 本合同依法执行政府采购政策的方式和内容，属于合同履约验收的范围。</w:t>
      </w:r>
      <w:r>
        <w:rPr>
          <w:rFonts w:hint="default" w:ascii="Times New Roman" w:hAnsi="Times New Roman" w:eastAsia="宋体" w:cs="Times New Roman"/>
          <w:color w:val="auto"/>
          <w:sz w:val="21"/>
          <w:highlight w:val="none"/>
          <w:lang w:eastAsia="zh-CN"/>
        </w:rPr>
        <w:t>甲乙双方</w:t>
      </w:r>
      <w:r>
        <w:rPr>
          <w:rFonts w:hint="default" w:ascii="Times New Roman" w:hAnsi="Times New Roman" w:eastAsia="宋体" w:cs="Times New Roman"/>
          <w:color w:val="auto"/>
          <w:highlight w:val="none"/>
          <w:lang w:val="en-GB"/>
        </w:rPr>
        <w:t>未按规定要求执行政府采购政策造成损失的</w:t>
      </w:r>
      <w:r>
        <w:rPr>
          <w:rFonts w:hint="default" w:ascii="Times New Roman" w:hAnsi="Times New Roman" w:eastAsia="宋体" w:cs="Times New Roman"/>
          <w:color w:val="auto"/>
          <w:szCs w:val="21"/>
          <w:highlight w:val="none"/>
        </w:rPr>
        <w:t>，有过错的一方应当承担赔偿责任，双方都有过错的，各自承担相应的责任。</w:t>
      </w:r>
    </w:p>
    <w:p w14:paraId="25878088">
      <w:pPr>
        <w:widowControl w:val="0"/>
        <w:spacing w:after="0" w:line="400" w:lineRule="exact"/>
        <w:ind w:firstLine="420" w:firstLineChars="200"/>
        <w:jc w:val="both"/>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8FB6254">
      <w:pPr>
        <w:autoSpaceDE w:val="0"/>
        <w:autoSpaceDN w:val="0"/>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w:t>
      </w:r>
      <w:r>
        <w:rPr>
          <w:rFonts w:hint="default" w:ascii="Times New Roman" w:hAnsi="Times New Roman" w:eastAsia="宋体" w:cs="Times New Roman"/>
          <w:b/>
          <w:color w:val="auto"/>
          <w:sz w:val="24"/>
          <w:highlight w:val="none"/>
          <w:lang w:val="en-US" w:eastAsia="zh-CN"/>
        </w:rPr>
        <w:t>1</w:t>
      </w:r>
      <w:r>
        <w:rPr>
          <w:rFonts w:hint="default" w:ascii="Times New Roman" w:hAnsi="Times New Roman" w:eastAsia="宋体" w:cs="Times New Roman"/>
          <w:b/>
          <w:color w:val="auto"/>
          <w:sz w:val="24"/>
          <w:highlight w:val="none"/>
        </w:rPr>
        <w:t>.</w:t>
      </w:r>
      <w:r>
        <w:rPr>
          <w:rFonts w:hint="default" w:ascii="Times New Roman" w:hAnsi="Times New Roman" w:eastAsia="宋体" w:cs="Times New Roman"/>
          <w:b/>
          <w:color w:val="auto"/>
          <w:sz w:val="24"/>
          <w:highlight w:val="none"/>
          <w:lang w:val="en-US" w:eastAsia="zh-CN"/>
        </w:rPr>
        <w:t xml:space="preserve"> </w:t>
      </w:r>
      <w:r>
        <w:rPr>
          <w:rFonts w:hint="default" w:ascii="Times New Roman" w:hAnsi="Times New Roman" w:eastAsia="宋体" w:cs="Times New Roman"/>
          <w:b/>
          <w:color w:val="auto"/>
          <w:sz w:val="24"/>
          <w:highlight w:val="none"/>
        </w:rPr>
        <w:t>法律适用</w:t>
      </w:r>
    </w:p>
    <w:p w14:paraId="58D22A12">
      <w:pPr>
        <w:autoSpaceDE w:val="0"/>
        <w:autoSpaceDN w:val="0"/>
        <w:adjustRightInd w:val="0"/>
        <w:spacing w:line="400" w:lineRule="exact"/>
        <w:ind w:firstLine="420" w:firstLineChars="200"/>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21.1 本合同的订立、生效、解释、履行及与本合同有关的争议解决，均适用法律、行政法规。</w:t>
      </w:r>
    </w:p>
    <w:p w14:paraId="5DDEE33E">
      <w:pPr>
        <w:autoSpaceDE w:val="0"/>
        <w:autoSpaceDN w:val="0"/>
        <w:adjustRightInd w:val="0"/>
        <w:spacing w:line="400" w:lineRule="exact"/>
        <w:ind w:firstLine="420" w:firstLineChars="200"/>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21.2 本合同条款与法律、行政法规的强制性规定不一致的，双方当事人应按照法律、行政法规的强制性规定修改本合同的相关条款。</w:t>
      </w:r>
    </w:p>
    <w:p w14:paraId="79D6B6B8">
      <w:pPr>
        <w:numPr>
          <w:ilvl w:val="0"/>
          <w:numId w:val="0"/>
        </w:numPr>
        <w:autoSpaceDE w:val="0"/>
        <w:autoSpaceDN w:val="0"/>
        <w:adjustRightInd w:val="0"/>
        <w:snapToGrid w:val="0"/>
        <w:spacing w:before="0" w:line="400" w:lineRule="exact"/>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 xml:space="preserve">22. </w:t>
      </w:r>
      <w:r>
        <w:rPr>
          <w:rFonts w:hint="default" w:ascii="Times New Roman" w:hAnsi="Times New Roman" w:eastAsia="宋体" w:cs="Times New Roman"/>
          <w:b/>
          <w:color w:val="auto"/>
          <w:sz w:val="24"/>
          <w:highlight w:val="none"/>
        </w:rPr>
        <w:t>通知</w:t>
      </w:r>
    </w:p>
    <w:p w14:paraId="27D4A0A7">
      <w:pPr>
        <w:autoSpaceDE w:val="0"/>
        <w:autoSpaceDN w:val="0"/>
        <w:adjustRightInd w:val="0"/>
        <w:spacing w:line="400" w:lineRule="exact"/>
        <w:ind w:firstLine="420" w:firstLineChars="200"/>
        <w:jc w:val="both"/>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22.1 本合同任何一方向对方发出的通知、信件、数据电文等，应当发送至本合同第一部分《政府采购合同协议书》所约定的通讯地址、联系人、联系电话或电子邮箱。</w:t>
      </w:r>
    </w:p>
    <w:p w14:paraId="64A9900B">
      <w:pPr>
        <w:autoSpaceDE w:val="0"/>
        <w:autoSpaceDN w:val="0"/>
        <w:adjustRightInd w:val="0"/>
        <w:spacing w:line="400" w:lineRule="exact"/>
        <w:ind w:firstLine="0" w:firstLineChars="0"/>
        <w:jc w:val="both"/>
        <w:rPr>
          <w:rFonts w:hint="default" w:ascii="Times New Roman" w:hAnsi="Times New Roman" w:eastAsia="华文楷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556F1665">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本合同一方给另一方的通知均应采用书面形式，传真或快递送到本合同中规定的对方的地址和办理签收手续。</w:t>
      </w:r>
    </w:p>
    <w:p w14:paraId="501D3B61">
      <w:pPr>
        <w:adjustRightInd w:val="0"/>
        <w:snapToGrid w:val="0"/>
        <w:spacing w:before="0" w:line="40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通知以送达之日或通知书中规定的生效之日起生效，两者中以较迟之日为准。</w:t>
      </w:r>
    </w:p>
    <w:p w14:paraId="52FA7719">
      <w:pPr>
        <w:numPr>
          <w:ilvl w:val="0"/>
          <w:numId w:val="9"/>
        </w:numPr>
        <w:adjustRightInd w:val="0"/>
        <w:snapToGrid w:val="0"/>
        <w:spacing w:before="0" w:line="400" w:lineRule="exact"/>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合同未尽事项</w:t>
      </w:r>
    </w:p>
    <w:p w14:paraId="3B67D6E5">
      <w:pPr>
        <w:adjustRightInd w:val="0"/>
        <w:snapToGrid w:val="0"/>
        <w:spacing w:before="0" w:line="400" w:lineRule="exact"/>
        <w:ind w:firstLine="420" w:firstLineChars="200"/>
        <w:jc w:val="left"/>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r>
        <w:rPr>
          <w:rFonts w:hint="default" w:ascii="Times New Roman" w:hAnsi="Times New Roman" w:eastAsia="宋体" w:cs="Times New Roman"/>
          <w:bCs/>
          <w:color w:val="auto"/>
          <w:szCs w:val="21"/>
          <w:highlight w:val="none"/>
          <w:lang w:val="en-US" w:eastAsia="zh-CN"/>
        </w:rPr>
        <w:t>3</w:t>
      </w:r>
      <w:r>
        <w:rPr>
          <w:rFonts w:hint="default" w:ascii="Times New Roman" w:hAnsi="Times New Roman" w:eastAsia="宋体" w:cs="Times New Roman"/>
          <w:bCs/>
          <w:color w:val="auto"/>
          <w:szCs w:val="21"/>
          <w:highlight w:val="none"/>
        </w:rPr>
        <w:t>.1合同未尽事项见</w:t>
      </w:r>
      <w:r>
        <w:rPr>
          <w:rFonts w:hint="default" w:ascii="Times New Roman" w:hAnsi="Times New Roman" w:eastAsia="宋体" w:cs="Times New Roman"/>
          <w:b/>
          <w:color w:val="auto"/>
          <w:szCs w:val="21"/>
          <w:highlight w:val="none"/>
        </w:rPr>
        <w:t>【政府采购合同专用条款】</w:t>
      </w:r>
      <w:r>
        <w:rPr>
          <w:rFonts w:hint="default" w:ascii="Times New Roman" w:hAnsi="Times New Roman" w:eastAsia="宋体" w:cs="Times New Roman"/>
          <w:bCs/>
          <w:color w:val="auto"/>
          <w:szCs w:val="21"/>
          <w:highlight w:val="none"/>
        </w:rPr>
        <w:t>。</w:t>
      </w:r>
    </w:p>
    <w:p w14:paraId="3720A568">
      <w:pPr>
        <w:adjustRightInd w:val="0"/>
        <w:snapToGrid w:val="0"/>
        <w:spacing w:line="400" w:lineRule="exact"/>
        <w:ind w:firstLine="0" w:firstLineChars="0"/>
        <w:jc w:val="left"/>
        <w:rPr>
          <w:rFonts w:hint="default" w:ascii="Times New Roman" w:hAnsi="Times New Roman" w:eastAsia="黑体" w:cs="Times New Roman"/>
          <w:color w:val="auto"/>
          <w:sz w:val="28"/>
          <w:szCs w:val="28"/>
          <w:highlight w:val="none"/>
        </w:rPr>
      </w:pPr>
      <w:r>
        <w:rPr>
          <w:rFonts w:hint="default" w:ascii="Times New Roman" w:hAnsi="Times New Roman" w:eastAsia="宋体" w:cs="Times New Roman"/>
          <w:bCs/>
          <w:color w:val="auto"/>
          <w:szCs w:val="21"/>
          <w:highlight w:val="none"/>
          <w:lang w:val="en-US" w:eastAsia="zh-CN"/>
        </w:rPr>
        <w:t xml:space="preserve">    23.2 合同附件与合同正文具有同等的法律效力。</w:t>
      </w:r>
      <w:bookmarkStart w:id="57" w:name="_Toc20313"/>
    </w:p>
    <w:p w14:paraId="7BFE6E79">
      <w:pPr>
        <w:adjustRightInd w:val="0"/>
        <w:snapToGrid w:val="0"/>
        <w:jc w:val="center"/>
        <w:rPr>
          <w:rFonts w:hint="default" w:ascii="Times New Roman" w:hAnsi="Times New Roman" w:eastAsia="黑体" w:cs="Times New Roman"/>
          <w:b w:val="0"/>
          <w:bCs w:val="0"/>
          <w:color w:val="auto"/>
          <w:sz w:val="28"/>
          <w:szCs w:val="28"/>
          <w:highlight w:val="none"/>
        </w:rPr>
      </w:pPr>
      <w:r>
        <w:rPr>
          <w:rFonts w:hint="default" w:ascii="Times New Roman" w:hAnsi="Times New Roman" w:eastAsia="黑体" w:cs="Times New Roman"/>
          <w:b w:val="0"/>
          <w:bCs w:val="0"/>
          <w:color w:val="auto"/>
          <w:sz w:val="28"/>
          <w:szCs w:val="28"/>
          <w:highlight w:val="none"/>
        </w:rPr>
        <w:br w:type="page"/>
      </w:r>
    </w:p>
    <w:p w14:paraId="1628138A">
      <w:pPr>
        <w:keepNext/>
        <w:keepLines/>
        <w:widowControl w:val="0"/>
        <w:adjustRightInd w:val="0"/>
        <w:snapToGrid w:val="0"/>
        <w:spacing w:line="360" w:lineRule="auto"/>
        <w:jc w:val="center"/>
        <w:outlineLvl w:val="1"/>
        <w:rPr>
          <w:rFonts w:hint="default" w:ascii="Times New Roman" w:hAnsi="Times New Roman" w:eastAsia="黑体" w:cs="Times New Roman"/>
          <w:b w:val="0"/>
          <w:bCs w:val="0"/>
          <w:color w:val="auto"/>
          <w:kern w:val="2"/>
          <w:sz w:val="28"/>
          <w:szCs w:val="28"/>
          <w:highlight w:val="none"/>
          <w:lang w:val="en-US" w:eastAsia="zh-CN" w:bidi="ar-SA"/>
        </w:rPr>
      </w:pPr>
      <w:r>
        <w:rPr>
          <w:rFonts w:hint="default" w:ascii="Times New Roman" w:hAnsi="Times New Roman" w:eastAsia="黑体" w:cs="Times New Roman"/>
          <w:b w:val="0"/>
          <w:bCs w:val="0"/>
          <w:color w:val="auto"/>
          <w:kern w:val="2"/>
          <w:sz w:val="28"/>
          <w:szCs w:val="28"/>
          <w:highlight w:val="none"/>
          <w:lang w:val="en-US" w:eastAsia="zh-CN" w:bidi="ar-SA"/>
        </w:rPr>
        <w:t>第三节 政府采购合同专用条款</w:t>
      </w:r>
      <w:bookmarkEnd w:id="57"/>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D59AA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567E40E">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764035B6">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第1.2（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）项</w:t>
            </w:r>
          </w:p>
        </w:tc>
        <w:tc>
          <w:tcPr>
            <w:tcW w:w="1742" w:type="dxa"/>
            <w:noWrap w:val="0"/>
            <w:vAlign w:val="center"/>
          </w:tcPr>
          <w:p w14:paraId="4DA8FBAB">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联合体具体要求</w:t>
            </w:r>
          </w:p>
        </w:tc>
        <w:tc>
          <w:tcPr>
            <w:tcW w:w="5170" w:type="dxa"/>
            <w:noWrap w:val="0"/>
            <w:vAlign w:val="center"/>
          </w:tcPr>
          <w:p w14:paraId="431AA292">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无</w:t>
            </w:r>
          </w:p>
        </w:tc>
      </w:tr>
      <w:tr w14:paraId="3FA9CC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3F70B182">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410A3728">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第1.2（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）项</w:t>
            </w:r>
          </w:p>
        </w:tc>
        <w:tc>
          <w:tcPr>
            <w:tcW w:w="1742" w:type="dxa"/>
            <w:noWrap w:val="0"/>
            <w:vAlign w:val="center"/>
          </w:tcPr>
          <w:p w14:paraId="013DA161">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其他术语解释</w:t>
            </w:r>
          </w:p>
        </w:tc>
        <w:tc>
          <w:tcPr>
            <w:tcW w:w="5170" w:type="dxa"/>
            <w:noWrap w:val="0"/>
            <w:vAlign w:val="center"/>
          </w:tcPr>
          <w:p w14:paraId="285A3ADB">
            <w:pPr>
              <w:adjustRightInd w:val="0"/>
              <w:snapToGrid w:val="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无</w:t>
            </w:r>
          </w:p>
        </w:tc>
      </w:tr>
      <w:tr w14:paraId="696E06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CCE19B6">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352192AD">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eastAsia="zh-CN"/>
              </w:rPr>
              <w:t>第</w:t>
            </w:r>
            <w:r>
              <w:rPr>
                <w:rFonts w:hint="default" w:ascii="Times New Roman" w:hAnsi="Times New Roman" w:eastAsia="宋体" w:cs="Times New Roman"/>
                <w:color w:val="auto"/>
                <w:szCs w:val="21"/>
                <w:highlight w:val="none"/>
                <w:lang w:val="en-US" w:eastAsia="zh-CN"/>
              </w:rPr>
              <w:t>4.4款</w:t>
            </w:r>
          </w:p>
        </w:tc>
        <w:tc>
          <w:tcPr>
            <w:tcW w:w="1742" w:type="dxa"/>
            <w:noWrap w:val="0"/>
            <w:vAlign w:val="center"/>
          </w:tcPr>
          <w:p w14:paraId="0CC4DB9F">
            <w:pPr>
              <w:adjustRightInd w:val="0"/>
              <w:snapToGrid w:val="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履约验收中甲方提出异议或作出说明的期限</w:t>
            </w:r>
          </w:p>
        </w:tc>
        <w:tc>
          <w:tcPr>
            <w:tcW w:w="5170" w:type="dxa"/>
            <w:noWrap w:val="0"/>
            <w:vAlign w:val="center"/>
          </w:tcPr>
          <w:p w14:paraId="5F27825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1.甲方应在乙方交付货物并提交验收申请之日起 【10】个工作日内组织验收。因不可抗力等特殊原因需延期验收的，甲方应提前3个工作日书面通知</w:t>
            </w:r>
            <w:r>
              <w:rPr>
                <w:rFonts w:hint="default" w:ascii="Times New Roman" w:hAnsi="Times New Roman" w:eastAsia="宋体" w:cs="Times New Roman"/>
                <w:color w:val="auto"/>
                <w:kern w:val="2"/>
                <w:sz w:val="21"/>
                <w:szCs w:val="21"/>
                <w:highlight w:val="none"/>
                <w:lang w:val="en-US" w:eastAsia="zh-CN" w:bidi="ar-SA"/>
              </w:rPr>
              <w:t>乙方并说明理由，延期最长不超过【5】个工作日。</w:t>
            </w:r>
          </w:p>
          <w:p w14:paraId="344D55D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2</w:t>
            </w:r>
            <w:bookmarkStart w:id="58" w:name="OLE_LINK2"/>
            <w:r>
              <w:rPr>
                <w:rFonts w:hint="default" w:ascii="Times New Roman" w:hAnsi="Times New Roman" w:eastAsia="宋体" w:cs="Times New Roman"/>
                <w:color w:val="auto"/>
                <w:kern w:val="2"/>
                <w:sz w:val="21"/>
                <w:szCs w:val="21"/>
                <w:highlight w:val="none"/>
                <w:lang w:val="en-US" w:eastAsia="zh-CN" w:bidi="ar-SA"/>
              </w:rPr>
              <w:t>.甲方在验收过程中提出书面异议的，应在异议文件中详细列明货物或服务不符合合同约定的具体内容，并附相关证明材料。乙方应自收到书面异议通知之日起 【5】个工作日内完成整改，并将整改情况书面告知甲方。整改完成后，甲方应在【5】个工作日内再次组织验收。若乙方经二次整改后，仍未能达到合同约定标准和要求的，视为验收不通过，甲方有权依据合同违约条款追究乙方违约责任，并要求乙方承担由此产生的全部损失。</w:t>
            </w:r>
            <w:bookmarkEnd w:id="58"/>
            <w:r>
              <w:rPr>
                <w:rFonts w:hint="default" w:ascii="Times New Roman" w:hAnsi="Times New Roman" w:eastAsia="宋体" w:cs="Times New Roman"/>
                <w:color w:val="auto"/>
                <w:kern w:val="2"/>
                <w:sz w:val="21"/>
                <w:szCs w:val="21"/>
                <w:highlight w:val="none"/>
                <w:lang w:val="en-US" w:eastAsia="zh-CN" w:bidi="ar-SA"/>
              </w:rPr>
              <w:t>3.若甲方未在上述约定期限内对乙方履约情况提出书面异议或未向乙方出具验收结论说明的，自约定期限届满之日起【5】个工作日后，视为甲方认可货物符合合同约定，验收自动通过。</w:t>
            </w:r>
          </w:p>
        </w:tc>
      </w:tr>
      <w:tr w14:paraId="221358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4BBD334">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79237E1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第</w:t>
            </w:r>
            <w:r>
              <w:rPr>
                <w:rFonts w:hint="default" w:ascii="Times New Roman" w:hAnsi="Times New Roman" w:eastAsia="宋体" w:cs="Times New Roman"/>
                <w:color w:val="auto"/>
                <w:szCs w:val="21"/>
                <w:highlight w:val="none"/>
                <w:lang w:val="en-US" w:eastAsia="zh-CN"/>
              </w:rPr>
              <w:t>4.6款</w:t>
            </w:r>
          </w:p>
        </w:tc>
        <w:tc>
          <w:tcPr>
            <w:tcW w:w="1742" w:type="dxa"/>
            <w:noWrap w:val="0"/>
            <w:vAlign w:val="center"/>
          </w:tcPr>
          <w:p w14:paraId="1E40483D">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约定甲方承担的其他义务和责任</w:t>
            </w:r>
          </w:p>
        </w:tc>
        <w:tc>
          <w:tcPr>
            <w:tcW w:w="5170" w:type="dxa"/>
            <w:noWrap w:val="0"/>
            <w:vAlign w:val="center"/>
          </w:tcPr>
          <w:p w14:paraId="48F0537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1.负责组织成立验收小组对仪器设备进行验收并签署验收报告。</w:t>
            </w:r>
          </w:p>
          <w:p w14:paraId="7E625A3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2.按照合同约定支付货款。</w:t>
            </w:r>
          </w:p>
        </w:tc>
      </w:tr>
      <w:tr w14:paraId="7E89BD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DC403B0">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第二节</w:t>
            </w:r>
          </w:p>
          <w:p w14:paraId="4B15B7CA">
            <w:pPr>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Cs w:val="21"/>
                <w:highlight w:val="none"/>
                <w:lang w:eastAsia="zh-CN"/>
              </w:rPr>
              <w:t>第</w:t>
            </w:r>
            <w:r>
              <w:rPr>
                <w:rFonts w:hint="default" w:ascii="Times New Roman" w:hAnsi="Times New Roman" w:eastAsia="宋体" w:cs="Times New Roman"/>
                <w:color w:val="auto"/>
                <w:szCs w:val="21"/>
                <w:highlight w:val="none"/>
                <w:lang w:val="en-US" w:eastAsia="zh-CN"/>
              </w:rPr>
              <w:t>5.4款</w:t>
            </w:r>
          </w:p>
        </w:tc>
        <w:tc>
          <w:tcPr>
            <w:tcW w:w="1742" w:type="dxa"/>
            <w:noWrap w:val="0"/>
            <w:vAlign w:val="center"/>
          </w:tcPr>
          <w:p w14:paraId="346DB4B9">
            <w:pPr>
              <w:adjustRightInd w:val="0"/>
              <w:snapToGrid w:val="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约定乙方承担的其他义务和责任</w:t>
            </w:r>
          </w:p>
        </w:tc>
        <w:tc>
          <w:tcPr>
            <w:tcW w:w="5170" w:type="dxa"/>
            <w:noWrap w:val="0"/>
            <w:vAlign w:val="center"/>
          </w:tcPr>
          <w:p w14:paraId="092EB8A2">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1.乙方保证提供的仪器设备符合采购文件的要求、是全新的、并符合国家标准和企业标准；进口的仪器设备具有完整的进口手续(包括但不限于入关证明、商品检验证明等)。</w:t>
            </w:r>
          </w:p>
          <w:p w14:paraId="6F7F0C3C">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2.乙方确保所供产品的电源及电源插头，符合中国要求，并具备中、英操作说明书及电子产品的电子电器结构线路图，保证所供设备的电子元件编码标识清晰，符合使用方验收条件。</w:t>
            </w:r>
          </w:p>
          <w:p w14:paraId="607C510B">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3.乙方负责该设备运至甲方机房，并安装调试正常。同时负责一切装卸搬运、安装、商检工作及计量检测鉴定的费用，在验收合格之前出现的自然损坏或质量问题均由乙方负责。</w:t>
            </w:r>
          </w:p>
          <w:p w14:paraId="6C5A18A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4.乙方将设备运至甲方指定地点后，必须先通知甲方设备科，双方对设备外观进行现场检查；若无问题，由乙方工程师按甲方要求进行安装、调试并培训工作人员。</w:t>
            </w:r>
          </w:p>
          <w:p w14:paraId="2DC2DFD0">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5.乙方承诺对其所开具的发票的真实合法承担其相应责任。</w:t>
            </w:r>
          </w:p>
          <w:p w14:paraId="4CF6D155">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6.乙方保证提供的仪器设备（若有配套软件的,还包括软件产品）未侵犯第三人知识产权及其他权利，若有前述情形发生，乙方需对此承担相应的侵权赔偿责任。</w:t>
            </w:r>
          </w:p>
          <w:p w14:paraId="1582796E">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7.乙方负责实现项目软件系统与医院现有信息系统的对接工作，包括但不限于：HIS、PACS、LIS、集成平台、数据中心等业务系统，必须免费开放接口，配合与其他系统的对接，实现系统间的数据交互、数据共享。</w:t>
            </w:r>
          </w:p>
          <w:p w14:paraId="77B14C7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乙方提供的硬件设施及软件产品，必须满足甲方现有基础设施及软件系统可接入条件，并保证符合国家网络信息安全要求。如乙方提供的硬件设施及软件产品无法接入甲方现有基础设施及软件系统，或不符合国家网络信息安全要求，需在前期需求调研时告知甲方，明确需要增加的安全设备及接入辅助设备等。如未告知，则甲方可以随时解除合同，由此给甲方造成财产损失的，乙方承担相应赔偿责任。</w:t>
            </w:r>
          </w:p>
          <w:p w14:paraId="2E5F03AE">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9.乙方严格遵守投标文件中标所承诺的一切规定和条款。</w:t>
            </w:r>
          </w:p>
        </w:tc>
      </w:tr>
      <w:tr w14:paraId="2E24B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FD8F81">
            <w:pPr>
              <w:adjustRightInd w:val="0"/>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第二节</w:t>
            </w:r>
          </w:p>
          <w:p w14:paraId="3EA43782">
            <w:pPr>
              <w:snapToGrid w:val="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第</w:t>
            </w:r>
            <w:r>
              <w:rPr>
                <w:rFonts w:hint="default" w:ascii="Times New Roman" w:hAnsi="Times New Roman" w:eastAsia="宋体" w:cs="Times New Roman"/>
                <w:color w:val="auto"/>
                <w:szCs w:val="21"/>
                <w:highlight w:val="none"/>
                <w:lang w:val="en-US" w:eastAsia="zh-CN"/>
              </w:rPr>
              <w:t>6.1款</w:t>
            </w:r>
          </w:p>
        </w:tc>
        <w:tc>
          <w:tcPr>
            <w:tcW w:w="1742" w:type="dxa"/>
            <w:noWrap w:val="0"/>
            <w:vAlign w:val="center"/>
          </w:tcPr>
          <w:p w14:paraId="3F758D65">
            <w:pPr>
              <w:adjustRightInd w:val="0"/>
              <w:snapToGrid w:val="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履行合同义务的顺序</w:t>
            </w:r>
          </w:p>
        </w:tc>
        <w:tc>
          <w:tcPr>
            <w:tcW w:w="5170" w:type="dxa"/>
            <w:noWrap w:val="0"/>
            <w:vAlign w:val="center"/>
          </w:tcPr>
          <w:p w14:paraId="40D1C57C">
            <w:pPr>
              <w:adjustRightInd w:val="0"/>
              <w:snapToGrid w:val="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按通用条款执行</w:t>
            </w:r>
          </w:p>
        </w:tc>
      </w:tr>
      <w:tr w14:paraId="448FE7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142165C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2A58353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款</w:t>
            </w:r>
          </w:p>
        </w:tc>
        <w:tc>
          <w:tcPr>
            <w:tcW w:w="1742" w:type="dxa"/>
            <w:noWrap w:val="0"/>
            <w:vAlign w:val="center"/>
          </w:tcPr>
          <w:p w14:paraId="3A2B104D">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包装</w:t>
            </w:r>
            <w:r>
              <w:rPr>
                <w:rFonts w:hint="default" w:ascii="Times New Roman" w:hAnsi="Times New Roman" w:eastAsia="宋体" w:cs="Times New Roman"/>
                <w:color w:val="auto"/>
                <w:szCs w:val="21"/>
                <w:highlight w:val="none"/>
                <w:lang w:eastAsia="zh-CN"/>
              </w:rPr>
              <w:t>特殊要求</w:t>
            </w:r>
          </w:p>
        </w:tc>
        <w:tc>
          <w:tcPr>
            <w:tcW w:w="5170" w:type="dxa"/>
            <w:noWrap w:val="0"/>
            <w:vAlign w:val="center"/>
          </w:tcPr>
          <w:p w14:paraId="5B49351B">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按通用条款执行</w:t>
            </w:r>
          </w:p>
        </w:tc>
      </w:tr>
      <w:tr w14:paraId="5A5C3F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6808C266">
            <w:pPr>
              <w:adjustRightInd w:val="0"/>
              <w:snapToGrid w:val="0"/>
              <w:jc w:val="center"/>
              <w:rPr>
                <w:rFonts w:hint="default" w:ascii="Times New Roman" w:hAnsi="Times New Roman" w:eastAsia="宋体" w:cs="Times New Roman"/>
                <w:color w:val="auto"/>
                <w:szCs w:val="21"/>
                <w:highlight w:val="none"/>
              </w:rPr>
            </w:pPr>
          </w:p>
        </w:tc>
        <w:tc>
          <w:tcPr>
            <w:tcW w:w="1742" w:type="dxa"/>
            <w:noWrap w:val="0"/>
            <w:vAlign w:val="center"/>
          </w:tcPr>
          <w:p w14:paraId="4BDC1136">
            <w:pPr>
              <w:adjustRightInd w:val="0"/>
              <w:snapToGrid w:val="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指定现场</w:t>
            </w:r>
          </w:p>
        </w:tc>
        <w:tc>
          <w:tcPr>
            <w:tcW w:w="5170" w:type="dxa"/>
            <w:noWrap w:val="0"/>
            <w:vAlign w:val="center"/>
          </w:tcPr>
          <w:p w14:paraId="29397B44">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按通用条款执行</w:t>
            </w:r>
          </w:p>
        </w:tc>
      </w:tr>
      <w:tr w14:paraId="68DB0E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509CB54E">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6C04AD5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款</w:t>
            </w:r>
          </w:p>
        </w:tc>
        <w:tc>
          <w:tcPr>
            <w:tcW w:w="1742" w:type="dxa"/>
            <w:noWrap w:val="0"/>
            <w:vAlign w:val="center"/>
          </w:tcPr>
          <w:p w14:paraId="13442EBA">
            <w:pPr>
              <w:adjustRightInd w:val="0"/>
              <w:snapToGrid w:val="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运输特殊要求</w:t>
            </w:r>
          </w:p>
        </w:tc>
        <w:tc>
          <w:tcPr>
            <w:tcW w:w="5170" w:type="dxa"/>
            <w:noWrap w:val="0"/>
            <w:vAlign w:val="center"/>
          </w:tcPr>
          <w:p w14:paraId="7C1294D9">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按通用条款执行</w:t>
            </w:r>
          </w:p>
        </w:tc>
      </w:tr>
      <w:tr w14:paraId="69D738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3165CAD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4C77CD8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val="en-US" w:eastAsia="zh-CN"/>
              </w:rPr>
              <w:t>款</w:t>
            </w:r>
          </w:p>
        </w:tc>
        <w:tc>
          <w:tcPr>
            <w:tcW w:w="1742" w:type="dxa"/>
            <w:noWrap w:val="0"/>
            <w:vAlign w:val="center"/>
          </w:tcPr>
          <w:p w14:paraId="2753F481">
            <w:pPr>
              <w:adjustRightInd w:val="0"/>
              <w:snapToGrid w:val="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保险要求</w:t>
            </w:r>
          </w:p>
        </w:tc>
        <w:tc>
          <w:tcPr>
            <w:tcW w:w="5170" w:type="dxa"/>
            <w:noWrap w:val="0"/>
            <w:vAlign w:val="center"/>
          </w:tcPr>
          <w:p w14:paraId="02C4B742">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1.乙方负责保险覆盖范围包括但不限于：货物在运输、装卸、仓储及安装调试过程中因自然灾害、意外事故、盗窃、损坏等导致的全部损失或灭失，以及因此产生的修复、更换、重新运输等费用。</w:t>
            </w:r>
          </w:p>
          <w:p w14:paraId="5A9A7E8A">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40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2.乙方确保货物在交付至合同约定地点并验收合格前全程受保。</w:t>
            </w:r>
          </w:p>
        </w:tc>
      </w:tr>
      <w:tr w14:paraId="15569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430CBD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4078622D">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.2（1）项</w:t>
            </w:r>
          </w:p>
        </w:tc>
        <w:tc>
          <w:tcPr>
            <w:tcW w:w="1742" w:type="dxa"/>
            <w:noWrap w:val="0"/>
            <w:vAlign w:val="center"/>
          </w:tcPr>
          <w:p w14:paraId="463F920D">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质量保证期</w:t>
            </w:r>
          </w:p>
        </w:tc>
        <w:tc>
          <w:tcPr>
            <w:tcW w:w="5170" w:type="dxa"/>
            <w:noWrap w:val="0"/>
            <w:vAlign w:val="center"/>
          </w:tcPr>
          <w:p w14:paraId="7869AB46">
            <w:pPr>
              <w:keepNext w:val="0"/>
              <w:keepLines w:val="0"/>
              <w:pageBreakBefore w:val="0"/>
              <w:widowControl w:val="0"/>
              <w:numPr>
                <w:ilvl w:val="0"/>
                <w:numId w:val="1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设备质保期为</w:t>
            </w:r>
            <w:r>
              <w:rPr>
                <w:rFonts w:hint="default" w:ascii="Times New Roman" w:hAnsi="Times New Roman" w:eastAsia="宋体" w:cs="Times New Roman"/>
                <w:color w:val="auto"/>
                <w:kern w:val="2"/>
                <w:sz w:val="21"/>
                <w:szCs w:val="21"/>
                <w:highlight w:val="none"/>
                <w:u w:val="single"/>
                <w:lang w:val="en-US" w:eastAsia="zh-CN" w:bidi="ar-SA"/>
              </w:rPr>
              <w:t xml:space="preserve">   </w:t>
            </w:r>
            <w:r>
              <w:rPr>
                <w:rFonts w:hint="default" w:ascii="Times New Roman" w:hAnsi="Times New Roman" w:eastAsia="宋体" w:cs="Times New Roman"/>
                <w:color w:val="auto"/>
                <w:kern w:val="2"/>
                <w:sz w:val="21"/>
                <w:szCs w:val="21"/>
                <w:highlight w:val="none"/>
                <w:lang w:val="en-US" w:eastAsia="zh-CN" w:bidi="ar-SA"/>
              </w:rPr>
              <w:t>年，包含设备主机、所有零配件、易损耗配件等，质保期自验收合格之日起算。</w:t>
            </w:r>
          </w:p>
          <w:p w14:paraId="3E46CB56">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2.质保期内，以招投标文件采购内容要求为准，如乙方没有按照合同约定履行质保义务的，甲方可以任意选择如下两种方式之一要求乙方承担违约责任：</w:t>
            </w:r>
            <w:r>
              <w:rPr>
                <w:rFonts w:hint="default" w:ascii="Times New Roman" w:hAnsi="Times New Roman" w:cs="Times New Roman"/>
                <w:color w:val="auto"/>
                <w:kern w:val="2"/>
                <w:sz w:val="21"/>
                <w:szCs w:val="21"/>
                <w:highlight w:val="none"/>
                <w:lang w:val="en-US" w:eastAsia="zh-CN" w:bidi="ar-SA"/>
              </w:rPr>
              <w:t>（1）</w:t>
            </w:r>
            <w:r>
              <w:rPr>
                <w:rFonts w:hint="default" w:ascii="Times New Roman" w:hAnsi="Times New Roman" w:eastAsia="宋体" w:cs="Times New Roman"/>
                <w:color w:val="auto"/>
                <w:kern w:val="2"/>
                <w:sz w:val="21"/>
                <w:szCs w:val="21"/>
                <w:highlight w:val="none"/>
                <w:lang w:val="en-US" w:eastAsia="zh-CN" w:bidi="ar-SA"/>
              </w:rPr>
              <w:t>每延期一天按照设备在停止使用前七个工作日内的日平均收入向甲方承担赔偿责任。如设备所在科室在该七个工作日内使用同类产品设备超过一台导致无法区分乙方所提供设备日平均收入的，以该科室所使用的全部同类产品设备日平均收入除以产品设备数量所得单台设备日平均收入作为计算依据；</w:t>
            </w:r>
            <w:r>
              <w:rPr>
                <w:rFonts w:hint="default" w:ascii="Times New Roman" w:hAnsi="Times New Roman" w:cs="Times New Roman"/>
                <w:color w:val="auto"/>
                <w:kern w:val="2"/>
                <w:sz w:val="21"/>
                <w:szCs w:val="21"/>
                <w:highlight w:val="none"/>
                <w:lang w:val="en-US" w:eastAsia="zh-CN" w:bidi="ar-SA"/>
              </w:rPr>
              <w:t>（2）</w:t>
            </w:r>
            <w:r>
              <w:rPr>
                <w:rFonts w:hint="default" w:ascii="Times New Roman" w:hAnsi="Times New Roman" w:eastAsia="宋体" w:cs="Times New Roman"/>
                <w:color w:val="auto"/>
                <w:kern w:val="2"/>
                <w:sz w:val="21"/>
                <w:szCs w:val="21"/>
                <w:highlight w:val="none"/>
                <w:lang w:val="en-US" w:eastAsia="zh-CN" w:bidi="ar-SA"/>
              </w:rPr>
              <w:t>按照延期时间的5倍增加保修时间（如：延期2天的，增加保修时间至10天）。如该产品属于某种设备的附属物，而因该产品的原因导致该产品无法使用的，甲方也可以比照本条违约责任第一项按照设备的日平均收入要求乙方承担赔偿责任或按照第二项要求承担延长保修时间的责任。</w:t>
            </w:r>
          </w:p>
          <w:p w14:paraId="185647FD">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ind w:leftChars="0"/>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乙方保证仪器设备在质保期内免费更换或保修，并终身负责维修。具体如下：质保期内，若设备仪器出现质量问题，乙方应当免费更换整机；质保期内，乙方对仪器设备提供全免费保修，包括但不限于：免维修费、免费更换零配件（自然灾害及人为故意损坏除外）</w:t>
            </w:r>
            <w:r>
              <w:rPr>
                <w:rFonts w:hint="default" w:ascii="Times New Roman" w:hAnsi="Times New Roman" w:cs="Times New Roman"/>
                <w:color w:val="auto"/>
                <w:kern w:val="2"/>
                <w:sz w:val="21"/>
                <w:szCs w:val="21"/>
                <w:highlight w:val="none"/>
                <w:lang w:val="en-US" w:eastAsia="zh-CN" w:bidi="ar-SA"/>
              </w:rPr>
              <w:t>、免人工费等</w:t>
            </w:r>
            <w:r>
              <w:rPr>
                <w:rFonts w:hint="default" w:ascii="Times New Roman" w:hAnsi="Times New Roman" w:eastAsia="宋体" w:cs="Times New Roman"/>
                <w:color w:val="auto"/>
                <w:kern w:val="2"/>
                <w:sz w:val="21"/>
                <w:szCs w:val="21"/>
                <w:highlight w:val="none"/>
                <w:lang w:val="en-US" w:eastAsia="zh-CN" w:bidi="ar-SA"/>
              </w:rPr>
              <w:t>。</w:t>
            </w:r>
          </w:p>
          <w:p w14:paraId="4C6A186D">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4.在质保期内，中标方免费负责处理设备出现的所有故障，每6个月指派工程师至现场进行维护保养并解决使用过程中出现的问题，对采购人使用科室操作人员进行培训；在质保期满后，中标方必须提供对设备技术、维修维护等服务，对设备维护保养只能收取零配件费用，免收派遣费、差旅费等一切其他费用，终身负责维修。</w:t>
            </w:r>
          </w:p>
        </w:tc>
      </w:tr>
      <w:tr w14:paraId="11C869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60CCF4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02226ABC">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w:t>
            </w:r>
            <w:r>
              <w:rPr>
                <w:rFonts w:hint="default"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rPr>
              <w:t>.2（3）项</w:t>
            </w:r>
          </w:p>
        </w:tc>
        <w:tc>
          <w:tcPr>
            <w:tcW w:w="1742" w:type="dxa"/>
            <w:noWrap w:val="0"/>
            <w:vAlign w:val="center"/>
          </w:tcPr>
          <w:p w14:paraId="426F0FD3">
            <w:pPr>
              <w:adjustRightInd w:val="0"/>
              <w:snapToGrid w:val="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货物质量缺陷</w:t>
            </w:r>
          </w:p>
          <w:p w14:paraId="4DF51EEC">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响应时间</w:t>
            </w:r>
          </w:p>
        </w:tc>
        <w:tc>
          <w:tcPr>
            <w:tcW w:w="5170" w:type="dxa"/>
            <w:noWrap w:val="0"/>
            <w:vAlign w:val="center"/>
          </w:tcPr>
          <w:p w14:paraId="39EE52CD">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1.乙方应使用原厂正品零部件进行维修或更换，更换后的货物或部件需达到合同约定的技术标准及性能要求。维修或更换完成后，乙方需向甲方提交书面维修报告及检测证明。</w:t>
            </w:r>
          </w:p>
          <w:p w14:paraId="2586911C">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2.因货物本身质量缺陷导致的维修、更换费用（包括零部件、人工、运输、安装等），均由乙方承担，甲方不再额外支付任何费用。</w:t>
            </w:r>
          </w:p>
          <w:p w14:paraId="16A0768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cs="Times New Roman"/>
                <w:color w:val="auto"/>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3.设置售后服务电话；接到故障维修电话后，需立即响应，并在2小时内做出答复，无法远程操作解决的需在48小时内到达现场进行维修，直至故障解除。</w:t>
            </w:r>
          </w:p>
        </w:tc>
      </w:tr>
      <w:tr w14:paraId="1B6ADC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D962A5D">
            <w:pPr>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第二节</w:t>
            </w:r>
          </w:p>
          <w:p w14:paraId="4CA9D4BE">
            <w:pPr>
              <w:autoSpaceDE w:val="0"/>
              <w:autoSpaceDN w:val="0"/>
              <w:adjustRightInd w:val="0"/>
              <w:spacing w:line="400" w:lineRule="exact"/>
              <w:ind w:firstLine="0" w:firstLineChars="0"/>
              <w:jc w:val="center"/>
              <w:rPr>
                <w:rFonts w:hint="default" w:ascii="Times New Roman" w:hAnsi="Times New Roman" w:eastAsia="华文楷体" w:cs="Times New Roman"/>
                <w:color w:val="auto"/>
                <w:sz w:val="22"/>
                <w:szCs w:val="21"/>
                <w:highlight w:val="none"/>
                <w:lang w:val="en-US" w:eastAsia="zh-CN" w:bidi="ar-SA"/>
              </w:rPr>
            </w:pPr>
            <w:r>
              <w:rPr>
                <w:rFonts w:hint="default" w:ascii="Times New Roman" w:hAnsi="Times New Roman" w:eastAsia="宋体" w:cs="Times New Roman"/>
                <w:color w:val="auto"/>
                <w:sz w:val="22"/>
                <w:szCs w:val="21"/>
                <w:highlight w:val="none"/>
                <w:lang w:val="en-US" w:eastAsia="zh-CN" w:bidi="ar-SA"/>
              </w:rPr>
              <w:t>第11.1款</w:t>
            </w:r>
          </w:p>
        </w:tc>
        <w:tc>
          <w:tcPr>
            <w:tcW w:w="1742" w:type="dxa"/>
            <w:noWrap w:val="0"/>
            <w:vAlign w:val="center"/>
          </w:tcPr>
          <w:p w14:paraId="57B4452E">
            <w:pPr>
              <w:adjustRightInd w:val="0"/>
              <w:snapToGrid w:val="0"/>
              <w:jc w:val="both"/>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其他应当保密的信息</w:t>
            </w:r>
          </w:p>
        </w:tc>
        <w:tc>
          <w:tcPr>
            <w:tcW w:w="5170" w:type="dxa"/>
            <w:noWrap w:val="0"/>
            <w:vAlign w:val="center"/>
          </w:tcPr>
          <w:p w14:paraId="4AEB8874">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按通用条款执行</w:t>
            </w:r>
          </w:p>
        </w:tc>
      </w:tr>
      <w:tr w14:paraId="27412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5041FCF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160E41F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第1</w:t>
            </w: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.2款</w:t>
            </w:r>
          </w:p>
        </w:tc>
        <w:tc>
          <w:tcPr>
            <w:tcW w:w="1742" w:type="dxa"/>
            <w:noWrap w:val="0"/>
            <w:vAlign w:val="center"/>
          </w:tcPr>
          <w:p w14:paraId="41F091F2">
            <w:pPr>
              <w:adjustRightInd w:val="0"/>
              <w:snapToGrid w:val="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合同价款支付</w:t>
            </w:r>
            <w:r>
              <w:rPr>
                <w:rFonts w:hint="default" w:ascii="Times New Roman" w:hAnsi="Times New Roman" w:eastAsia="宋体" w:cs="Times New Roman"/>
                <w:color w:val="auto"/>
                <w:szCs w:val="21"/>
                <w:highlight w:val="none"/>
                <w:lang w:eastAsia="zh-CN"/>
              </w:rPr>
              <w:t>时间</w:t>
            </w:r>
          </w:p>
        </w:tc>
        <w:tc>
          <w:tcPr>
            <w:tcW w:w="5170" w:type="dxa"/>
            <w:noWrap w:val="0"/>
            <w:vAlign w:val="center"/>
          </w:tcPr>
          <w:p w14:paraId="4B1A62A0">
            <w:pPr>
              <w:adjustRightInd w:val="0"/>
              <w:snapToGrid w:val="0"/>
              <w:jc w:val="left"/>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kern w:val="2"/>
                <w:sz w:val="21"/>
                <w:szCs w:val="21"/>
                <w:highlight w:val="none"/>
                <w:lang w:val="en-US" w:eastAsia="zh-CN" w:bidi="ar-SA"/>
              </w:rPr>
              <w:t>经验收合格后</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收到发票之</w:t>
            </w:r>
            <w:r>
              <w:rPr>
                <w:rFonts w:hint="default" w:ascii="Times New Roman" w:hAnsi="Times New Roman" w:cs="Times New Roman"/>
                <w:color w:val="auto"/>
                <w:kern w:val="2"/>
                <w:sz w:val="21"/>
                <w:szCs w:val="21"/>
                <w:highlight w:val="none"/>
                <w:lang w:val="en-US" w:eastAsia="zh-CN" w:bidi="ar-SA"/>
              </w:rPr>
              <w:t>日</w:t>
            </w:r>
            <w:r>
              <w:rPr>
                <w:rFonts w:hint="default" w:ascii="Times New Roman" w:hAnsi="Times New Roman" w:eastAsia="宋体" w:cs="Times New Roman"/>
                <w:color w:val="auto"/>
                <w:kern w:val="2"/>
                <w:sz w:val="21"/>
                <w:szCs w:val="21"/>
                <w:highlight w:val="none"/>
                <w:lang w:val="en-US" w:eastAsia="zh-CN" w:bidi="ar-SA"/>
              </w:rPr>
              <w:t>起10个日历天内一次性向乙方支付合同款。</w:t>
            </w:r>
          </w:p>
        </w:tc>
      </w:tr>
      <w:tr w14:paraId="1933AB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8B851B3">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77A7B28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w:t>
            </w:r>
            <w:r>
              <w:rPr>
                <w:rFonts w:hint="default" w:ascii="Times New Roman" w:hAnsi="Times New Roman" w:eastAsia="宋体" w:cs="Times New Roman"/>
                <w:color w:val="auto"/>
                <w:szCs w:val="21"/>
                <w:highlight w:val="none"/>
                <w:lang w:val="en-US" w:eastAsia="zh-CN"/>
              </w:rPr>
              <w:t>13.2</w:t>
            </w:r>
            <w:r>
              <w:rPr>
                <w:rFonts w:hint="default" w:ascii="Times New Roman" w:hAnsi="Times New Roman" w:eastAsia="宋体" w:cs="Times New Roman"/>
                <w:color w:val="auto"/>
                <w:szCs w:val="21"/>
                <w:highlight w:val="none"/>
              </w:rPr>
              <w:t>款</w:t>
            </w:r>
          </w:p>
        </w:tc>
        <w:tc>
          <w:tcPr>
            <w:tcW w:w="1742" w:type="dxa"/>
            <w:noWrap w:val="0"/>
            <w:vAlign w:val="center"/>
          </w:tcPr>
          <w:p w14:paraId="2906B396">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履约保证金不予退还的情形</w:t>
            </w:r>
          </w:p>
        </w:tc>
        <w:tc>
          <w:tcPr>
            <w:tcW w:w="5170" w:type="dxa"/>
            <w:noWrap w:val="0"/>
            <w:vAlign w:val="center"/>
          </w:tcPr>
          <w:p w14:paraId="45410C17">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无</w:t>
            </w:r>
          </w:p>
        </w:tc>
      </w:tr>
      <w:tr w14:paraId="31926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42A21DA">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5BA1BDE5">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w:t>
            </w:r>
            <w:r>
              <w:rPr>
                <w:rFonts w:hint="default" w:ascii="Times New Roman" w:hAnsi="Times New Roman" w:eastAsia="宋体" w:cs="Times New Roman"/>
                <w:color w:val="auto"/>
                <w:szCs w:val="21"/>
                <w:highlight w:val="none"/>
                <w:lang w:val="en-US" w:eastAsia="zh-CN"/>
              </w:rPr>
              <w:t>13.3</w:t>
            </w:r>
            <w:r>
              <w:rPr>
                <w:rFonts w:hint="default" w:ascii="Times New Roman" w:hAnsi="Times New Roman" w:eastAsia="宋体" w:cs="Times New Roman"/>
                <w:color w:val="auto"/>
                <w:szCs w:val="21"/>
                <w:highlight w:val="none"/>
              </w:rPr>
              <w:t>款</w:t>
            </w:r>
          </w:p>
        </w:tc>
        <w:tc>
          <w:tcPr>
            <w:tcW w:w="1742" w:type="dxa"/>
            <w:noWrap w:val="0"/>
            <w:vAlign w:val="center"/>
          </w:tcPr>
          <w:p w14:paraId="76EBB538">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履约保证金退还时间及</w:t>
            </w:r>
            <w:r>
              <w:rPr>
                <w:rFonts w:hint="default" w:ascii="Times New Roman" w:hAnsi="Times New Roman" w:eastAsia="宋体" w:cs="Times New Roman"/>
                <w:color w:val="auto"/>
                <w:szCs w:val="21"/>
                <w:highlight w:val="none"/>
                <w:lang w:eastAsia="zh-CN"/>
              </w:rPr>
              <w:t>逾期退还的</w:t>
            </w:r>
            <w:r>
              <w:rPr>
                <w:rFonts w:hint="default" w:ascii="Times New Roman" w:hAnsi="Times New Roman" w:eastAsia="宋体" w:cs="Times New Roman"/>
                <w:color w:val="auto"/>
                <w:szCs w:val="21"/>
                <w:highlight w:val="none"/>
              </w:rPr>
              <w:t>违约金</w:t>
            </w:r>
          </w:p>
        </w:tc>
        <w:tc>
          <w:tcPr>
            <w:tcW w:w="5170" w:type="dxa"/>
            <w:noWrap w:val="0"/>
            <w:vAlign w:val="center"/>
          </w:tcPr>
          <w:p w14:paraId="316A622E">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无</w:t>
            </w:r>
          </w:p>
        </w:tc>
      </w:tr>
      <w:tr w14:paraId="194149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5A3D68A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2FDDCA7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第1</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）项</w:t>
            </w:r>
          </w:p>
        </w:tc>
        <w:tc>
          <w:tcPr>
            <w:tcW w:w="1742" w:type="dxa"/>
            <w:noWrap w:val="0"/>
            <w:vAlign w:val="center"/>
          </w:tcPr>
          <w:p w14:paraId="55D4E0FA">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运行监督、维修期限</w:t>
            </w:r>
          </w:p>
        </w:tc>
        <w:tc>
          <w:tcPr>
            <w:tcW w:w="5170" w:type="dxa"/>
            <w:noWrap w:val="0"/>
            <w:vAlign w:val="center"/>
          </w:tcPr>
          <w:p w14:paraId="3A1DC4DB">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按通用条款执行</w:t>
            </w:r>
          </w:p>
        </w:tc>
      </w:tr>
      <w:tr w14:paraId="196977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2EF6663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38E8F739">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第1</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）项</w:t>
            </w:r>
          </w:p>
        </w:tc>
        <w:tc>
          <w:tcPr>
            <w:tcW w:w="1742" w:type="dxa"/>
            <w:noWrap w:val="0"/>
            <w:vAlign w:val="center"/>
          </w:tcPr>
          <w:p w14:paraId="0EC55502">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货物回收的约定</w:t>
            </w:r>
          </w:p>
        </w:tc>
        <w:tc>
          <w:tcPr>
            <w:tcW w:w="5170" w:type="dxa"/>
            <w:noWrap w:val="0"/>
            <w:vAlign w:val="center"/>
          </w:tcPr>
          <w:p w14:paraId="77AB9E6D">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2"/>
                <w:sz w:val="21"/>
                <w:szCs w:val="21"/>
                <w:highlight w:val="none"/>
                <w:lang w:val="en-US" w:eastAsia="zh-CN" w:bidi="ar-SA"/>
              </w:rPr>
              <w:t>按通用条款执行</w:t>
            </w:r>
          </w:p>
        </w:tc>
      </w:tr>
      <w:tr w14:paraId="2345DC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744912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2B0C0B11">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第1</w:t>
            </w:r>
            <w:r>
              <w:rPr>
                <w:rFonts w:hint="default"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.1（</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）项</w:t>
            </w:r>
          </w:p>
        </w:tc>
        <w:tc>
          <w:tcPr>
            <w:tcW w:w="1742" w:type="dxa"/>
            <w:noWrap w:val="0"/>
            <w:vAlign w:val="center"/>
          </w:tcPr>
          <w:p w14:paraId="4FB2DABE">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乙方提供的其他服务</w:t>
            </w:r>
          </w:p>
        </w:tc>
        <w:tc>
          <w:tcPr>
            <w:tcW w:w="5170" w:type="dxa"/>
            <w:noWrap w:val="0"/>
            <w:vAlign w:val="center"/>
          </w:tcPr>
          <w:p w14:paraId="70CAA717">
            <w:pPr>
              <w:keepNext w:val="0"/>
              <w:keepLines w:val="0"/>
              <w:pageBreakBefore w:val="0"/>
              <w:widowControl w:val="0"/>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培训要求：（1）设备安装调试完毕后，免费组织工程师进行技术培训直至使用科室操作人员及设备科工作人员完全掌握使用方法、独立完成操作、掌握基本故障排除方法、日常维护保养方法等；（2）质保期间，工程师至现场进行巡检时需根据使用情况开展培训，更好地服务使用科室；（3）若采购人提出培训需求，中标方需全面配合免费协调工程师开展培训。</w:t>
            </w:r>
          </w:p>
          <w:p w14:paraId="25EF45BB">
            <w:pPr>
              <w:keepNext w:val="0"/>
              <w:keepLines w:val="0"/>
              <w:pageBreakBefore w:val="0"/>
              <w:widowControl w:val="0"/>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1"/>
                <w:szCs w:val="21"/>
                <w:highlight w:val="none"/>
                <w:lang w:val="en-US" w:eastAsia="zh-CN" w:bidi="ar-SA"/>
              </w:rPr>
              <w:t>2.技术服务要求：（1）设备经安装调试后工程师应将设备所有的功能、各模块的作用充分介绍；（2）使用人员在操作过程中提出的问题应全面进行分析、指导；（3）终身免费负责系统软件升级。</w:t>
            </w:r>
          </w:p>
        </w:tc>
      </w:tr>
      <w:tr w14:paraId="18416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8AD8A47">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344E54D4">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第1</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1款</w:t>
            </w:r>
          </w:p>
        </w:tc>
        <w:tc>
          <w:tcPr>
            <w:tcW w:w="1742" w:type="dxa"/>
            <w:noWrap w:val="0"/>
            <w:vAlign w:val="center"/>
          </w:tcPr>
          <w:p w14:paraId="65616F43">
            <w:pPr>
              <w:adjustRightInd w:val="0"/>
              <w:snapToGrid w:val="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修理、重作、更换相关具体规定</w:t>
            </w:r>
          </w:p>
        </w:tc>
        <w:tc>
          <w:tcPr>
            <w:tcW w:w="5170" w:type="dxa"/>
            <w:noWrap w:val="0"/>
            <w:vAlign w:val="center"/>
          </w:tcPr>
          <w:p w14:paraId="1852550E">
            <w:pPr>
              <w:keepNext w:val="0"/>
              <w:keepLines w:val="0"/>
              <w:pageBreakBefore w:val="0"/>
              <w:widowControl w:val="0"/>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若产品经甲方验收、第三方检测机构检验或用户使用过程中发现不符合合同约定的质量标准（包括技术参数、性能指标、安全规范等），或存在功能性缺陷、外观瑕疵等问题，均视为产品质量问题，甲方有权出具书面质量异议通知。</w:t>
            </w:r>
          </w:p>
          <w:p w14:paraId="0EF87284">
            <w:pPr>
              <w:keepNext w:val="0"/>
              <w:keepLines w:val="0"/>
              <w:pageBreakBefore w:val="0"/>
              <w:widowControl w:val="0"/>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2.乙方应在收到甲方质量异议通知后24小时内书面确认，并在【5】个工作日内提出具体整改方案（包括修理、重作或更换计划）。</w:t>
            </w:r>
          </w:p>
          <w:p w14:paraId="0902F82A">
            <w:pPr>
              <w:keepNext w:val="0"/>
              <w:keepLines w:val="0"/>
              <w:pageBreakBefore w:val="0"/>
              <w:widowControl w:val="0"/>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3.因产品质量问题导致甲方直接经济损失（如设备损坏、生产中断等），均由乙方负责承担。</w:t>
            </w:r>
          </w:p>
        </w:tc>
      </w:tr>
      <w:tr w14:paraId="7A65D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04BF3B2">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18C1DCCA">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第1</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.2（2）项</w:t>
            </w:r>
          </w:p>
        </w:tc>
        <w:tc>
          <w:tcPr>
            <w:tcW w:w="1742" w:type="dxa"/>
            <w:noWrap w:val="0"/>
            <w:vAlign w:val="center"/>
          </w:tcPr>
          <w:p w14:paraId="1EB75002">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迟延交货赔偿费</w:t>
            </w:r>
          </w:p>
        </w:tc>
        <w:tc>
          <w:tcPr>
            <w:tcW w:w="5170" w:type="dxa"/>
            <w:noWrap w:val="0"/>
            <w:vAlign w:val="center"/>
          </w:tcPr>
          <w:p w14:paraId="5BC72F1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1.本合同签订后</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日内，乙方应按本合同约定将设备（含必要消耗品、配套资料、配套附属设备、配件等）送到甲方指定的地点。如遇特殊情况，以甲方另行通知时间为准。</w:t>
            </w:r>
          </w:p>
          <w:p w14:paraId="17ED212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2.若延期交货，乙方每天应向甲方缴纳延期额的千分之 </w:t>
            </w:r>
            <w:r>
              <w:rPr>
                <w:rFonts w:hint="default" w:ascii="Times New Roman" w:hAnsi="Times New Roman" w:cs="Times New Roman"/>
                <w:color w:val="auto"/>
                <w:highlight w:val="none"/>
                <w:u w:val="single"/>
                <w:lang w:val="en-US" w:eastAsia="zh-CN"/>
              </w:rPr>
              <w:t>二</w:t>
            </w:r>
            <w:r>
              <w:rPr>
                <w:rFonts w:hint="default" w:ascii="Times New Roman" w:hAnsi="Times New Roman" w:cs="Times New Roman"/>
                <w:color w:val="auto"/>
                <w:highlight w:val="none"/>
                <w:lang w:val="en-US" w:eastAsia="zh-CN"/>
              </w:rPr>
              <w:t>作为罚金。因不可抗力所导致的交货、服务及付款延迟等按照《中华人民共和国民法典》有关条文处理。逾期30天，甲方有权解除合同、拒付本合同项下的价款并追究乙方违约责任，乙方向甲方支付合同总价款20%的违约金并赔偿甲方因此而遭受的损失。</w:t>
            </w:r>
          </w:p>
        </w:tc>
      </w:tr>
      <w:tr w14:paraId="378999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F82C134">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第二节</w:t>
            </w:r>
          </w:p>
          <w:p w14:paraId="6AE5D445">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第15.3款</w:t>
            </w:r>
          </w:p>
        </w:tc>
        <w:tc>
          <w:tcPr>
            <w:tcW w:w="1742" w:type="dxa"/>
            <w:noWrap w:val="0"/>
            <w:vAlign w:val="center"/>
          </w:tcPr>
          <w:p w14:paraId="3E58A099">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逾期付款利息</w:t>
            </w:r>
          </w:p>
        </w:tc>
        <w:tc>
          <w:tcPr>
            <w:tcW w:w="5170" w:type="dxa"/>
            <w:noWrap w:val="0"/>
            <w:vAlign w:val="center"/>
          </w:tcPr>
          <w:p w14:paraId="5AEAB217">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exact"/>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若甲方未按合同约定时间支付货款，自逾期之日起，每日按照合同总价的1‰向乙方支付违约金；甲方无正当理由拒付货款的，应向乙方偿付合同总价20%的违约金。合同继续履行</w:t>
            </w:r>
            <w:bookmarkStart w:id="59" w:name="_Hlk159409173"/>
            <w:bookmarkStart w:id="60" w:name="_Hlk109395811"/>
            <w:bookmarkStart w:id="61" w:name="_Hlk109395313"/>
            <w:r>
              <w:rPr>
                <w:rFonts w:hint="default" w:ascii="Times New Roman" w:hAnsi="Times New Roman" w:eastAsia="宋体" w:cs="Times New Roman"/>
                <w:color w:val="auto"/>
                <w:highlight w:val="none"/>
                <w:lang w:val="en-US" w:eastAsia="zh-CN"/>
              </w:rPr>
              <w:t>过程，如受财政支付流程或其他不可抗力因素</w:t>
            </w:r>
            <w:bookmarkEnd w:id="59"/>
            <w:r>
              <w:rPr>
                <w:rFonts w:hint="default" w:ascii="Times New Roman" w:hAnsi="Times New Roman" w:eastAsia="宋体" w:cs="Times New Roman"/>
                <w:color w:val="auto"/>
                <w:highlight w:val="none"/>
                <w:lang w:val="en-US" w:eastAsia="zh-CN"/>
              </w:rPr>
              <w:t>的影响导致甲方未在规定期限内支付，</w:t>
            </w:r>
            <w:r>
              <w:rPr>
                <w:rFonts w:hint="default" w:ascii="Times New Roman" w:hAnsi="Times New Roman" w:eastAsia="宋体" w:cs="Times New Roman"/>
                <w:color w:val="auto"/>
                <w:highlight w:val="none"/>
                <w:lang w:val="en-US" w:eastAsia="zh-Hans"/>
              </w:rPr>
              <w:t>不视为违约，</w:t>
            </w:r>
            <w:r>
              <w:rPr>
                <w:rFonts w:hint="default" w:ascii="Times New Roman" w:hAnsi="Times New Roman" w:eastAsia="宋体" w:cs="Times New Roman"/>
                <w:color w:val="auto"/>
                <w:highlight w:val="none"/>
                <w:lang w:val="en-US" w:eastAsia="zh-CN"/>
              </w:rPr>
              <w:t>付款期限相应顺延。</w:t>
            </w:r>
            <w:bookmarkEnd w:id="60"/>
            <w:bookmarkEnd w:id="61"/>
          </w:p>
        </w:tc>
      </w:tr>
      <w:tr w14:paraId="7EEF41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16161EA2">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41CFBD62">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第1</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.4</w:t>
            </w:r>
            <w:r>
              <w:rPr>
                <w:rFonts w:hint="default" w:ascii="Times New Roman" w:hAnsi="Times New Roman" w:eastAsia="宋体" w:cs="Times New Roman"/>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00D6F098">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其他违约责任</w:t>
            </w:r>
          </w:p>
        </w:tc>
        <w:tc>
          <w:tcPr>
            <w:tcW w:w="5170" w:type="dxa"/>
            <w:tcBorders>
              <w:left w:val="single" w:color="auto" w:sz="2" w:space="0"/>
              <w:bottom w:val="single" w:color="auto" w:sz="2" w:space="0"/>
            </w:tcBorders>
            <w:noWrap w:val="0"/>
            <w:vAlign w:val="center"/>
          </w:tcPr>
          <w:p w14:paraId="4ACE813F">
            <w:pPr>
              <w:keepNext w:val="0"/>
              <w:keepLines w:val="0"/>
              <w:pageBreakBefore w:val="0"/>
              <w:widowControl w:val="0"/>
              <w:kinsoku/>
              <w:wordWrap/>
              <w:overflowPunct/>
              <w:topLinePunct w:val="0"/>
              <w:autoSpaceDE w:val="0"/>
              <w:autoSpaceDN w:val="0"/>
              <w:bidi w:val="0"/>
              <w:adjustRightInd w:val="0"/>
              <w:snapToGrid w:val="0"/>
              <w:spacing w:after="0" w:line="276" w:lineRule="auto"/>
              <w:jc w:val="left"/>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cs="Times New Roman"/>
                <w:color w:val="auto"/>
                <w:szCs w:val="21"/>
                <w:highlight w:val="none"/>
                <w:u w:val="none"/>
                <w:lang w:val="en-US" w:eastAsia="zh-CN"/>
              </w:rPr>
              <w:t>无</w:t>
            </w:r>
          </w:p>
        </w:tc>
      </w:tr>
      <w:tr w14:paraId="1C8FDF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7EEB46DF">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5E4497FD">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w:t>
            </w:r>
            <w:r>
              <w:rPr>
                <w:rFonts w:hint="default" w:ascii="Times New Roman" w:hAnsi="Times New Roman" w:eastAsia="宋体" w:cs="Times New Roman"/>
                <w:color w:val="auto"/>
                <w:szCs w:val="21"/>
                <w:highlight w:val="none"/>
                <w:lang w:val="en-US" w:eastAsia="zh-CN"/>
              </w:rPr>
              <w:t>19</w:t>
            </w: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7EDF58CF">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解决争议的方法</w:t>
            </w:r>
          </w:p>
        </w:tc>
        <w:tc>
          <w:tcPr>
            <w:tcW w:w="5170" w:type="dxa"/>
            <w:tcBorders>
              <w:top w:val="single" w:color="auto" w:sz="2" w:space="0"/>
              <w:left w:val="single" w:color="auto" w:sz="2" w:space="0"/>
            </w:tcBorders>
            <w:noWrap w:val="0"/>
            <w:vAlign w:val="center"/>
          </w:tcPr>
          <w:p w14:paraId="40B6E5CB">
            <w:pPr>
              <w:keepNext w:val="0"/>
              <w:keepLines w:val="0"/>
              <w:pageBreakBefore w:val="0"/>
              <w:widowControl w:val="0"/>
              <w:kinsoku/>
              <w:wordWrap/>
              <w:overflowPunct/>
              <w:topLinePunct w:val="0"/>
              <w:autoSpaceDE w:val="0"/>
              <w:autoSpaceDN w:val="0"/>
              <w:bidi w:val="0"/>
              <w:adjustRightInd w:val="0"/>
              <w:snapToGrid w:val="0"/>
              <w:spacing w:after="0" w:line="276" w:lineRule="auto"/>
              <w:jc w:val="left"/>
              <w:textAlignment w:val="auto"/>
              <w:rPr>
                <w:rFonts w:hint="default" w:ascii="Times New Roman" w:hAnsi="Times New Roman" w:eastAsia="宋体" w:cs="Times New Roman"/>
                <w:b w:val="0"/>
                <w:bCs w:val="0"/>
                <w:iCs/>
                <w:color w:val="auto"/>
                <w:szCs w:val="21"/>
                <w:highlight w:val="none"/>
              </w:rPr>
            </w:pPr>
            <w:r>
              <w:rPr>
                <w:rFonts w:hint="default" w:ascii="Times New Roman" w:hAnsi="Times New Roman" w:eastAsia="宋体" w:cs="Times New Roman"/>
                <w:b w:val="0"/>
                <w:bCs w:val="0"/>
                <w:iCs/>
                <w:color w:val="auto"/>
                <w:szCs w:val="21"/>
                <w:highlight w:val="none"/>
              </w:rPr>
              <w:t>因本合同及合同有关事项发生的争议，按下列第</w:t>
            </w:r>
            <w:r>
              <w:rPr>
                <w:rFonts w:hint="default" w:ascii="Times New Roman" w:hAnsi="Times New Roman" w:eastAsia="宋体" w:cs="Times New Roman"/>
                <w:b w:val="0"/>
                <w:bCs w:val="0"/>
                <w:iCs/>
                <w:color w:val="auto"/>
                <w:szCs w:val="21"/>
                <w:highlight w:val="none"/>
                <w:u w:val="single"/>
              </w:rPr>
              <w:t xml:space="preserve">   </w:t>
            </w:r>
            <w:r>
              <w:rPr>
                <w:rFonts w:hint="default" w:ascii="Times New Roman" w:hAnsi="Times New Roman" w:eastAsia="宋体" w:cs="Times New Roman"/>
                <w:b w:val="0"/>
                <w:bCs w:val="0"/>
                <w:iCs/>
                <w:color w:val="auto"/>
                <w:szCs w:val="21"/>
                <w:highlight w:val="none"/>
              </w:rPr>
              <w:t>种方式解决：</w:t>
            </w:r>
          </w:p>
          <w:p w14:paraId="7FAF275E">
            <w:pPr>
              <w:keepNext w:val="0"/>
              <w:keepLines w:val="0"/>
              <w:pageBreakBefore w:val="0"/>
              <w:widowControl w:val="0"/>
              <w:kinsoku/>
              <w:wordWrap/>
              <w:overflowPunct/>
              <w:topLinePunct w:val="0"/>
              <w:autoSpaceDE w:val="0"/>
              <w:autoSpaceDN w:val="0"/>
              <w:bidi w:val="0"/>
              <w:adjustRightInd w:val="0"/>
              <w:snapToGrid w:val="0"/>
              <w:spacing w:after="0" w:line="276" w:lineRule="auto"/>
              <w:jc w:val="left"/>
              <w:textAlignment w:val="auto"/>
              <w:rPr>
                <w:rFonts w:hint="default" w:ascii="Times New Roman" w:hAnsi="Times New Roman" w:eastAsia="宋体" w:cs="Times New Roman"/>
                <w:b w:val="0"/>
                <w:bCs w:val="0"/>
                <w:iCs/>
                <w:color w:val="auto"/>
                <w:szCs w:val="21"/>
                <w:highlight w:val="none"/>
              </w:rPr>
            </w:pPr>
            <w:r>
              <w:rPr>
                <w:rFonts w:hint="default" w:ascii="Times New Roman" w:hAnsi="Times New Roman" w:eastAsia="宋体" w:cs="Times New Roman"/>
                <w:b w:val="0"/>
                <w:bCs w:val="0"/>
                <w:iCs/>
                <w:color w:val="auto"/>
                <w:szCs w:val="21"/>
                <w:highlight w:val="none"/>
              </w:rPr>
              <w:t>（1）向</w:t>
            </w:r>
            <w:r>
              <w:rPr>
                <w:rFonts w:hint="default" w:ascii="Times New Roman" w:hAnsi="Times New Roman" w:eastAsia="宋体" w:cs="Times New Roman"/>
                <w:b w:val="0"/>
                <w:bCs w:val="0"/>
                <w:iCs/>
                <w:color w:val="auto"/>
                <w:szCs w:val="21"/>
                <w:highlight w:val="none"/>
                <w:u w:val="single"/>
              </w:rPr>
              <w:t xml:space="preserve">   </w:t>
            </w:r>
            <w:r>
              <w:rPr>
                <w:rFonts w:hint="default" w:ascii="Times New Roman" w:hAnsi="Times New Roman" w:cs="Times New Roman"/>
                <w:b w:val="0"/>
                <w:bCs w:val="0"/>
                <w:iCs/>
                <w:color w:val="auto"/>
                <w:szCs w:val="21"/>
                <w:highlight w:val="none"/>
                <w:u w:val="single"/>
                <w:lang w:val="en-US" w:eastAsia="zh-CN"/>
              </w:rPr>
              <w:t>/</w:t>
            </w:r>
            <w:r>
              <w:rPr>
                <w:rFonts w:hint="default" w:ascii="Times New Roman" w:hAnsi="Times New Roman" w:eastAsia="宋体" w:cs="Times New Roman"/>
                <w:b w:val="0"/>
                <w:bCs w:val="0"/>
                <w:iCs/>
                <w:color w:val="auto"/>
                <w:szCs w:val="21"/>
                <w:highlight w:val="none"/>
                <w:u w:val="single"/>
              </w:rPr>
              <w:t xml:space="preserve"> </w:t>
            </w:r>
            <w:r>
              <w:rPr>
                <w:rFonts w:hint="default" w:ascii="Times New Roman" w:hAnsi="Times New Roman" w:eastAsia="宋体" w:cs="Times New Roman"/>
                <w:b w:val="0"/>
                <w:bCs w:val="0"/>
                <w:iCs/>
                <w:color w:val="auto"/>
                <w:szCs w:val="21"/>
                <w:highlight w:val="none"/>
              </w:rPr>
              <w:t>仲裁委员会申请仲裁，仲裁地点为</w:t>
            </w:r>
            <w:r>
              <w:rPr>
                <w:rFonts w:hint="default" w:ascii="Times New Roman" w:hAnsi="Times New Roman" w:eastAsia="宋体" w:cs="Times New Roman"/>
                <w:b w:val="0"/>
                <w:bCs w:val="0"/>
                <w:iCs/>
                <w:color w:val="auto"/>
                <w:szCs w:val="21"/>
                <w:highlight w:val="none"/>
                <w:u w:val="single"/>
              </w:rPr>
              <w:t xml:space="preserve">  </w:t>
            </w:r>
            <w:r>
              <w:rPr>
                <w:rFonts w:hint="default" w:ascii="Times New Roman" w:hAnsi="Times New Roman" w:cs="Times New Roman"/>
                <w:b w:val="0"/>
                <w:bCs w:val="0"/>
                <w:iCs/>
                <w:color w:val="auto"/>
                <w:szCs w:val="21"/>
                <w:highlight w:val="none"/>
                <w:u w:val="single"/>
                <w:lang w:val="en-US" w:eastAsia="zh-CN"/>
              </w:rPr>
              <w:t>/</w:t>
            </w:r>
            <w:r>
              <w:rPr>
                <w:rFonts w:hint="default" w:ascii="Times New Roman" w:hAnsi="Times New Roman" w:eastAsia="宋体" w:cs="Times New Roman"/>
                <w:b w:val="0"/>
                <w:bCs w:val="0"/>
                <w:iCs/>
                <w:color w:val="auto"/>
                <w:szCs w:val="21"/>
                <w:highlight w:val="none"/>
                <w:u w:val="single"/>
              </w:rPr>
              <w:t xml:space="preserve"> </w:t>
            </w:r>
            <w:r>
              <w:rPr>
                <w:rFonts w:hint="default" w:ascii="Times New Roman" w:hAnsi="Times New Roman" w:eastAsia="宋体" w:cs="Times New Roman"/>
                <w:b w:val="0"/>
                <w:bCs w:val="0"/>
                <w:iCs/>
                <w:color w:val="auto"/>
                <w:szCs w:val="21"/>
                <w:highlight w:val="none"/>
              </w:rPr>
              <w:t>；</w:t>
            </w:r>
          </w:p>
          <w:p w14:paraId="08C6CA7C">
            <w:pPr>
              <w:keepNext w:val="0"/>
              <w:keepLines w:val="0"/>
              <w:pageBreakBefore w:val="0"/>
              <w:widowControl w:val="0"/>
              <w:kinsoku/>
              <w:wordWrap/>
              <w:overflowPunct/>
              <w:topLinePunct w:val="0"/>
              <w:autoSpaceDE w:val="0"/>
              <w:autoSpaceDN w:val="0"/>
              <w:bidi w:val="0"/>
              <w:adjustRightInd w:val="0"/>
              <w:snapToGrid w:val="0"/>
              <w:spacing w:after="0" w:line="276" w:lineRule="auto"/>
              <w:ind w:firstLine="0" w:firstLineChars="0"/>
              <w:jc w:val="left"/>
              <w:textAlignment w:val="auto"/>
              <w:rPr>
                <w:rFonts w:hint="default" w:ascii="Times New Roman" w:hAnsi="Times New Roman" w:eastAsia="宋体" w:cs="Times New Roman"/>
                <w:color w:val="auto"/>
                <w:szCs w:val="21"/>
                <w:highlight w:val="none"/>
                <w:u w:val="single"/>
              </w:rPr>
            </w:pPr>
            <w:r>
              <w:rPr>
                <w:rFonts w:hint="default" w:ascii="Times New Roman" w:hAnsi="Times New Roman" w:eastAsia="宋体" w:cs="Times New Roman"/>
                <w:b w:val="0"/>
                <w:bCs w:val="0"/>
                <w:iCs/>
                <w:color w:val="auto"/>
                <w:szCs w:val="21"/>
                <w:highlight w:val="none"/>
              </w:rPr>
              <w:t>（2）向</w:t>
            </w:r>
            <w:r>
              <w:rPr>
                <w:rFonts w:hint="default" w:ascii="Times New Roman" w:hAnsi="Times New Roman" w:eastAsia="宋体" w:cs="Times New Roman"/>
                <w:b w:val="0"/>
                <w:bCs w:val="0"/>
                <w:iCs/>
                <w:color w:val="auto"/>
                <w:szCs w:val="21"/>
                <w:highlight w:val="none"/>
                <w:u w:val="single"/>
              </w:rPr>
              <w:t xml:space="preserve"> </w:t>
            </w:r>
            <w:r>
              <w:rPr>
                <w:rFonts w:hint="default" w:ascii="Times New Roman" w:hAnsi="Times New Roman" w:cs="Times New Roman"/>
                <w:b w:val="0"/>
                <w:bCs w:val="0"/>
                <w:iCs/>
                <w:color w:val="auto"/>
                <w:szCs w:val="21"/>
                <w:highlight w:val="none"/>
                <w:u w:val="single"/>
                <w:lang w:val="en-US" w:eastAsia="zh-CN"/>
              </w:rPr>
              <w:t>甲方所在地</w:t>
            </w:r>
            <w:r>
              <w:rPr>
                <w:rFonts w:hint="default" w:ascii="Times New Roman" w:hAnsi="Times New Roman" w:eastAsia="宋体" w:cs="Times New Roman"/>
                <w:b w:val="0"/>
                <w:bCs w:val="0"/>
                <w:iCs/>
                <w:color w:val="auto"/>
                <w:szCs w:val="21"/>
                <w:highlight w:val="none"/>
                <w:u w:val="single"/>
              </w:rPr>
              <w:t xml:space="preserve"> </w:t>
            </w:r>
            <w:r>
              <w:rPr>
                <w:rFonts w:hint="default" w:ascii="Times New Roman" w:hAnsi="Times New Roman" w:eastAsia="宋体" w:cs="Times New Roman"/>
                <w:b w:val="0"/>
                <w:bCs w:val="0"/>
                <w:iCs/>
                <w:color w:val="auto"/>
                <w:szCs w:val="21"/>
                <w:highlight w:val="none"/>
              </w:rPr>
              <w:t>人民法院起诉。</w:t>
            </w:r>
          </w:p>
        </w:tc>
      </w:tr>
      <w:tr w14:paraId="7A4C1B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08FB6883">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第二节</w:t>
            </w:r>
          </w:p>
          <w:p w14:paraId="66FE9913">
            <w:pPr>
              <w:keepNext w:val="0"/>
              <w:keepLines w:val="0"/>
              <w:pageBreakBefore w:val="0"/>
              <w:widowControl w:val="0"/>
              <w:kinsoku/>
              <w:wordWrap/>
              <w:overflowPunct/>
              <w:topLinePunct w:val="0"/>
              <w:autoSpaceDE w:val="0"/>
              <w:autoSpaceDN w:val="0"/>
              <w:bidi w:val="0"/>
              <w:adjustRightInd w:val="0"/>
              <w:snapToGrid w:val="0"/>
              <w:spacing w:after="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第2</w:t>
            </w:r>
            <w:r>
              <w:rPr>
                <w:rFonts w:hint="default" w:ascii="Times New Roman" w:hAnsi="Times New Roman" w:eastAsia="宋体" w:cs="Times New Roman"/>
                <w:color w:val="auto"/>
                <w:szCs w:val="21"/>
                <w:highlight w:val="none"/>
                <w:lang w:val="en-US" w:eastAsia="zh-CN"/>
              </w:rPr>
              <w:t>3.1</w:t>
            </w:r>
            <w:r>
              <w:rPr>
                <w:rFonts w:hint="default" w:ascii="Times New Roman" w:hAnsi="Times New Roman" w:eastAsia="宋体" w:cs="Times New Roman"/>
                <w:color w:val="auto"/>
                <w:szCs w:val="21"/>
                <w:highlight w:val="none"/>
                <w:lang w:eastAsia="zh-CN"/>
              </w:rPr>
              <w:t>款</w:t>
            </w:r>
          </w:p>
        </w:tc>
        <w:tc>
          <w:tcPr>
            <w:tcW w:w="1742" w:type="dxa"/>
            <w:noWrap w:val="0"/>
            <w:vAlign w:val="center"/>
          </w:tcPr>
          <w:p w14:paraId="70334D54">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lang w:eastAsia="zh-CN"/>
              </w:rPr>
              <w:t>其他专用条款</w:t>
            </w:r>
          </w:p>
        </w:tc>
        <w:tc>
          <w:tcPr>
            <w:tcW w:w="5170" w:type="dxa"/>
            <w:noWrap w:val="0"/>
            <w:vAlign w:val="center"/>
          </w:tcPr>
          <w:p w14:paraId="01FE3266">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无</w:t>
            </w:r>
          </w:p>
        </w:tc>
      </w:tr>
    </w:tbl>
    <w:p w14:paraId="4C495551">
      <w:pPr>
        <w:pStyle w:val="23"/>
        <w:rPr>
          <w:rFonts w:hint="default" w:ascii="Times New Roman" w:hAnsi="Times New Roman" w:cs="Times New Roman"/>
          <w:sz w:val="28"/>
          <w:szCs w:val="28"/>
          <w:lang w:val="en-US" w:eastAsia="zh-Hans"/>
        </w:rPr>
      </w:pPr>
    </w:p>
    <w:p w14:paraId="1096930F">
      <w:pPr>
        <w:pStyle w:val="23"/>
        <w:rPr>
          <w:rFonts w:hint="default" w:ascii="Times New Roman" w:hAnsi="Times New Roman" w:cs="Times New Roman"/>
          <w:sz w:val="28"/>
          <w:szCs w:val="28"/>
        </w:rPr>
      </w:pPr>
    </w:p>
    <w:p w14:paraId="2D90176C">
      <w:pPr>
        <w:pStyle w:val="23"/>
        <w:rPr>
          <w:rFonts w:hint="default" w:ascii="Times New Roman" w:hAnsi="Times New Roman" w:cs="Times New Roman"/>
          <w:sz w:val="28"/>
          <w:szCs w:val="28"/>
        </w:rPr>
      </w:pPr>
    </w:p>
    <w:p w14:paraId="4EB5979A">
      <w:pPr>
        <w:pStyle w:val="23"/>
        <w:rPr>
          <w:rFonts w:hint="default" w:ascii="Times New Roman" w:hAnsi="Times New Roman" w:cs="Times New Roman"/>
          <w:sz w:val="28"/>
          <w:szCs w:val="28"/>
        </w:rPr>
      </w:pPr>
    </w:p>
    <w:p w14:paraId="432706A3">
      <w:pPr>
        <w:pStyle w:val="23"/>
        <w:rPr>
          <w:rFonts w:hint="default" w:ascii="Times New Roman" w:hAnsi="Times New Roman" w:cs="Times New Roman"/>
          <w:sz w:val="28"/>
          <w:szCs w:val="28"/>
        </w:rPr>
      </w:pPr>
    </w:p>
    <w:p w14:paraId="1C94EA54">
      <w:pPr>
        <w:pStyle w:val="24"/>
        <w:spacing w:line="738" w:lineRule="exact"/>
        <w:ind w:right="3"/>
        <w:jc w:val="center"/>
        <w:rPr>
          <w:rFonts w:hint="default" w:ascii="Times New Roman" w:hAnsi="Times New Roman" w:eastAsia="仿宋_GB2312" w:cs="Times New Roman"/>
          <w:sz w:val="28"/>
          <w:szCs w:val="28"/>
          <w:lang w:val="en-US" w:eastAsia="zh-CN"/>
        </w:rPr>
      </w:pPr>
      <w:bookmarkStart w:id="62" w:name="_Toc533420644"/>
      <w:bookmarkStart w:id="63" w:name="_Toc30908"/>
      <w:r>
        <w:rPr>
          <w:rFonts w:hint="default" w:ascii="Times New Roman" w:hAnsi="Times New Roman" w:eastAsia="仿宋_GB2312" w:cs="Times New Roman"/>
          <w:sz w:val="28"/>
          <w:szCs w:val="28"/>
          <w:lang w:val="en-US" w:eastAsia="zh-CN"/>
        </w:rPr>
        <w:t>第</w:t>
      </w:r>
      <w:r>
        <w:rPr>
          <w:rFonts w:hint="eastAsia" w:ascii="Times New Roman" w:hAnsi="Times New Roman" w:eastAsia="仿宋_GB2312" w:cs="Times New Roman"/>
          <w:sz w:val="28"/>
          <w:szCs w:val="28"/>
          <w:lang w:val="en-US" w:eastAsia="zh-CN"/>
        </w:rPr>
        <w:t>六</w:t>
      </w:r>
      <w:r>
        <w:rPr>
          <w:rFonts w:hint="default" w:ascii="Times New Roman" w:hAnsi="Times New Roman" w:eastAsia="仿宋_GB2312" w:cs="Times New Roman"/>
          <w:sz w:val="28"/>
          <w:szCs w:val="28"/>
          <w:lang w:val="en-US" w:eastAsia="zh-CN"/>
        </w:rPr>
        <w:t xml:space="preserve">章 </w:t>
      </w:r>
      <w:bookmarkEnd w:id="62"/>
      <w:r>
        <w:rPr>
          <w:rFonts w:hint="default" w:ascii="Times New Roman" w:hAnsi="Times New Roman" w:eastAsia="仿宋_GB2312" w:cs="Times New Roman"/>
          <w:sz w:val="28"/>
          <w:szCs w:val="28"/>
          <w:lang w:val="en-US" w:eastAsia="zh-CN"/>
        </w:rPr>
        <w:t xml:space="preserve"> 采购需求</w:t>
      </w:r>
      <w:bookmarkEnd w:id="63"/>
      <w:r>
        <w:rPr>
          <w:rFonts w:hint="default" w:ascii="Times New Roman" w:hAnsi="Times New Roman" w:eastAsia="仿宋_GB2312" w:cs="Times New Roman"/>
          <w:sz w:val="28"/>
          <w:szCs w:val="28"/>
          <w:lang w:val="en-US" w:eastAsia="zh-CN"/>
        </w:rPr>
        <w:t>及要求</w:t>
      </w:r>
    </w:p>
    <w:p w14:paraId="006DF5D1">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outlineLvl w:val="2"/>
        <w:rPr>
          <w:rFonts w:hint="default" w:ascii="Times New Roman" w:hAnsi="Times New Roman" w:eastAsia="仿宋_GB2312" w:cs="Times New Roman"/>
          <w:sz w:val="28"/>
          <w:szCs w:val="28"/>
          <w:lang w:val="en-US" w:eastAsia="zh-CN"/>
        </w:rPr>
      </w:pPr>
      <w:bookmarkStart w:id="64" w:name="_bookmark149"/>
      <w:bookmarkEnd w:id="64"/>
      <w:bookmarkStart w:id="65" w:name="_bookmark153"/>
      <w:bookmarkEnd w:id="65"/>
      <w:bookmarkStart w:id="66" w:name="_bookmark148"/>
      <w:bookmarkEnd w:id="66"/>
      <w:r>
        <w:rPr>
          <w:rFonts w:hint="default" w:ascii="Times New Roman" w:hAnsi="Times New Roman" w:eastAsia="仿宋_GB2312" w:cs="Times New Roman"/>
          <w:sz w:val="28"/>
          <w:szCs w:val="28"/>
          <w:lang w:val="en-US" w:eastAsia="zh-CN"/>
        </w:rPr>
        <w:t>一、需求一览表</w:t>
      </w:r>
    </w:p>
    <w:tbl>
      <w:tblPr>
        <w:tblStyle w:val="17"/>
        <w:tblW w:w="913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95"/>
        <w:gridCol w:w="2340"/>
        <w:gridCol w:w="690"/>
        <w:gridCol w:w="615"/>
        <w:gridCol w:w="990"/>
        <w:gridCol w:w="1035"/>
        <w:gridCol w:w="975"/>
        <w:gridCol w:w="814"/>
      </w:tblGrid>
      <w:tr w14:paraId="7419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85" w:type="dxa"/>
          </w:tcPr>
          <w:p w14:paraId="7896D3EC">
            <w:pPr>
              <w:keepNext w:val="0"/>
              <w:keepLines w:val="0"/>
              <w:pageBreakBefore w:val="0"/>
              <w:numPr>
                <w:ilvl w:val="0"/>
                <w:numId w:val="0"/>
              </w:numPr>
              <w:kinsoku/>
              <w:wordWrap/>
              <w:overflowPunct/>
              <w:topLinePunct w:val="0"/>
              <w:autoSpaceDE/>
              <w:autoSpaceDN/>
              <w:bidi w:val="0"/>
              <w:spacing w:beforeAutospacing="0" w:after="0" w:line="4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w:t>
            </w:r>
          </w:p>
        </w:tc>
        <w:tc>
          <w:tcPr>
            <w:tcW w:w="8254" w:type="dxa"/>
            <w:gridSpan w:val="8"/>
          </w:tcPr>
          <w:p w14:paraId="502CBCB7">
            <w:pPr>
              <w:keepNext w:val="0"/>
              <w:keepLines w:val="0"/>
              <w:pageBreakBefore w:val="0"/>
              <w:numPr>
                <w:ilvl w:val="0"/>
                <w:numId w:val="0"/>
              </w:numPr>
              <w:kinsoku/>
              <w:wordWrap/>
              <w:overflowPunct/>
              <w:topLinePunct w:val="0"/>
              <w:autoSpaceDE/>
              <w:autoSpaceDN/>
              <w:bidi w:val="0"/>
              <w:spacing w:beforeAutospacing="0" w:after="0" w:line="4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采购标的物清单</w:t>
            </w:r>
          </w:p>
        </w:tc>
      </w:tr>
      <w:tr w14:paraId="61DD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885" w:type="dxa"/>
            <w:vAlign w:val="center"/>
          </w:tcPr>
          <w:p w14:paraId="024A10C6">
            <w:pPr>
              <w:keepNext w:val="0"/>
              <w:keepLines w:val="0"/>
              <w:pageBreakBefore w:val="0"/>
              <w:numPr>
                <w:ilvl w:val="0"/>
                <w:numId w:val="0"/>
              </w:numPr>
              <w:kinsoku/>
              <w:wordWrap/>
              <w:overflowPunct/>
              <w:topLinePunct w:val="0"/>
              <w:autoSpaceDE/>
              <w:autoSpaceDN/>
              <w:bidi w:val="0"/>
              <w:spacing w:beforeAutospacing="0" w:after="0" w:line="4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序号</w:t>
            </w:r>
          </w:p>
        </w:tc>
        <w:tc>
          <w:tcPr>
            <w:tcW w:w="795" w:type="dxa"/>
            <w:vAlign w:val="center"/>
          </w:tcPr>
          <w:p w14:paraId="0D4EE37A">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44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是否接受进口产品</w:t>
            </w:r>
          </w:p>
        </w:tc>
        <w:tc>
          <w:tcPr>
            <w:tcW w:w="2340" w:type="dxa"/>
            <w:vAlign w:val="center"/>
          </w:tcPr>
          <w:p w14:paraId="54D56DCB">
            <w:pPr>
              <w:keepNext w:val="0"/>
              <w:keepLines w:val="0"/>
              <w:pageBreakBefore w:val="0"/>
              <w:numPr>
                <w:ilvl w:val="0"/>
                <w:numId w:val="0"/>
              </w:numPr>
              <w:kinsoku/>
              <w:wordWrap/>
              <w:overflowPunct/>
              <w:topLinePunct w:val="0"/>
              <w:autoSpaceDE/>
              <w:autoSpaceDN/>
              <w:bidi w:val="0"/>
              <w:spacing w:beforeAutospacing="0" w:after="0" w:line="4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产品名称</w:t>
            </w:r>
          </w:p>
        </w:tc>
        <w:tc>
          <w:tcPr>
            <w:tcW w:w="690" w:type="dxa"/>
            <w:vAlign w:val="center"/>
          </w:tcPr>
          <w:p w14:paraId="6C2ECA9D">
            <w:pPr>
              <w:keepNext w:val="0"/>
              <w:keepLines w:val="0"/>
              <w:pageBreakBefore w:val="0"/>
              <w:numPr>
                <w:ilvl w:val="0"/>
                <w:numId w:val="0"/>
              </w:numPr>
              <w:kinsoku/>
              <w:wordWrap/>
              <w:overflowPunct/>
              <w:topLinePunct w:val="0"/>
              <w:autoSpaceDE/>
              <w:autoSpaceDN/>
              <w:bidi w:val="0"/>
              <w:spacing w:beforeAutospacing="0" w:after="0" w:line="4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数量</w:t>
            </w:r>
          </w:p>
        </w:tc>
        <w:tc>
          <w:tcPr>
            <w:tcW w:w="615" w:type="dxa"/>
            <w:vAlign w:val="center"/>
          </w:tcPr>
          <w:p w14:paraId="40A87A72">
            <w:pPr>
              <w:keepNext w:val="0"/>
              <w:keepLines w:val="0"/>
              <w:pageBreakBefore w:val="0"/>
              <w:numPr>
                <w:ilvl w:val="0"/>
                <w:numId w:val="0"/>
              </w:numPr>
              <w:kinsoku/>
              <w:wordWrap/>
              <w:overflowPunct/>
              <w:topLinePunct w:val="0"/>
              <w:autoSpaceDE/>
              <w:autoSpaceDN/>
              <w:bidi w:val="0"/>
              <w:spacing w:beforeAutospacing="0" w:after="0" w:line="4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单位</w:t>
            </w:r>
          </w:p>
        </w:tc>
        <w:tc>
          <w:tcPr>
            <w:tcW w:w="990" w:type="dxa"/>
            <w:vAlign w:val="center"/>
          </w:tcPr>
          <w:p w14:paraId="68CEE3DB">
            <w:pPr>
              <w:keepNext w:val="0"/>
              <w:keepLines w:val="0"/>
              <w:pageBreakBefore w:val="0"/>
              <w:numPr>
                <w:ilvl w:val="0"/>
                <w:numId w:val="0"/>
              </w:numPr>
              <w:kinsoku/>
              <w:wordWrap/>
              <w:overflowPunct/>
              <w:topLinePunct w:val="0"/>
              <w:autoSpaceDE/>
              <w:autoSpaceDN/>
              <w:bidi w:val="0"/>
              <w:spacing w:beforeAutospacing="0" w:after="0" w:line="4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单价（万元）</w:t>
            </w:r>
          </w:p>
        </w:tc>
        <w:tc>
          <w:tcPr>
            <w:tcW w:w="1035" w:type="dxa"/>
            <w:vAlign w:val="center"/>
          </w:tcPr>
          <w:p w14:paraId="16BFCC14">
            <w:pPr>
              <w:keepNext w:val="0"/>
              <w:keepLines w:val="0"/>
              <w:pageBreakBefore w:val="0"/>
              <w:numPr>
                <w:ilvl w:val="0"/>
                <w:numId w:val="0"/>
              </w:numPr>
              <w:kinsoku/>
              <w:wordWrap/>
              <w:overflowPunct/>
              <w:topLinePunct w:val="0"/>
              <w:autoSpaceDE/>
              <w:autoSpaceDN/>
              <w:bidi w:val="0"/>
              <w:spacing w:beforeAutospacing="0" w:after="0" w:line="4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预算金额（万元）</w:t>
            </w:r>
          </w:p>
        </w:tc>
        <w:tc>
          <w:tcPr>
            <w:tcW w:w="975" w:type="dxa"/>
            <w:vAlign w:val="center"/>
          </w:tcPr>
          <w:p w14:paraId="76F537B4">
            <w:pPr>
              <w:keepNext w:val="0"/>
              <w:keepLines w:val="0"/>
              <w:pageBreakBefore w:val="0"/>
              <w:numPr>
                <w:ilvl w:val="0"/>
                <w:numId w:val="0"/>
              </w:numPr>
              <w:kinsoku/>
              <w:wordWrap/>
              <w:overflowPunct/>
              <w:topLinePunct w:val="0"/>
              <w:autoSpaceDE/>
              <w:autoSpaceDN/>
              <w:bidi w:val="0"/>
              <w:spacing w:beforeAutospacing="0" w:after="0" w:line="4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最高限价（万元）</w:t>
            </w:r>
          </w:p>
        </w:tc>
        <w:tc>
          <w:tcPr>
            <w:tcW w:w="814" w:type="dxa"/>
            <w:vAlign w:val="center"/>
          </w:tcPr>
          <w:p w14:paraId="2DCCC83C">
            <w:pPr>
              <w:keepNext w:val="0"/>
              <w:keepLines w:val="0"/>
              <w:pageBreakBefore w:val="0"/>
              <w:numPr>
                <w:ilvl w:val="0"/>
                <w:numId w:val="0"/>
              </w:numPr>
              <w:kinsoku/>
              <w:wordWrap/>
              <w:overflowPunct/>
              <w:topLinePunct w:val="0"/>
              <w:autoSpaceDE/>
              <w:autoSpaceDN/>
              <w:bidi w:val="0"/>
              <w:spacing w:beforeAutospacing="0" w:after="0" w:line="46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是否核心产品</w:t>
            </w:r>
          </w:p>
        </w:tc>
      </w:tr>
      <w:tr w14:paraId="7E1C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85" w:type="dxa"/>
            <w:vAlign w:val="center"/>
          </w:tcPr>
          <w:p w14:paraId="414D12DE">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795" w:type="dxa"/>
            <w:vAlign w:val="center"/>
          </w:tcPr>
          <w:p w14:paraId="220C4FC3">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c>
          <w:tcPr>
            <w:tcW w:w="2340" w:type="dxa"/>
            <w:vAlign w:val="center"/>
          </w:tcPr>
          <w:p w14:paraId="6A5A068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超声经颅多普勒血流分析仪</w:t>
            </w:r>
          </w:p>
        </w:tc>
        <w:tc>
          <w:tcPr>
            <w:tcW w:w="690" w:type="dxa"/>
            <w:vAlign w:val="center"/>
          </w:tcPr>
          <w:p w14:paraId="0EB332A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615" w:type="dxa"/>
            <w:vAlign w:val="center"/>
          </w:tcPr>
          <w:p w14:paraId="4A3C626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台</w:t>
            </w:r>
          </w:p>
        </w:tc>
        <w:tc>
          <w:tcPr>
            <w:tcW w:w="990" w:type="dxa"/>
            <w:vAlign w:val="center"/>
          </w:tcPr>
          <w:p w14:paraId="7D56C4D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30.00</w:t>
            </w:r>
          </w:p>
        </w:tc>
        <w:tc>
          <w:tcPr>
            <w:tcW w:w="1035" w:type="dxa"/>
            <w:vAlign w:val="center"/>
          </w:tcPr>
          <w:p w14:paraId="5DF7512C">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30.00</w:t>
            </w:r>
          </w:p>
        </w:tc>
        <w:tc>
          <w:tcPr>
            <w:tcW w:w="975" w:type="dxa"/>
            <w:vAlign w:val="center"/>
          </w:tcPr>
          <w:p w14:paraId="29B4A1EA">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30.00</w:t>
            </w:r>
          </w:p>
        </w:tc>
        <w:tc>
          <w:tcPr>
            <w:tcW w:w="814" w:type="dxa"/>
            <w:vAlign w:val="center"/>
          </w:tcPr>
          <w:p w14:paraId="294B0B5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w:t>
            </w:r>
          </w:p>
        </w:tc>
      </w:tr>
      <w:tr w14:paraId="0809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85" w:type="dxa"/>
            <w:vAlign w:val="center"/>
          </w:tcPr>
          <w:p w14:paraId="2E221C56">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795" w:type="dxa"/>
            <w:vAlign w:val="center"/>
          </w:tcPr>
          <w:p w14:paraId="0F8E78F1">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c>
          <w:tcPr>
            <w:tcW w:w="2340" w:type="dxa"/>
            <w:vAlign w:val="center"/>
          </w:tcPr>
          <w:p w14:paraId="6F72A92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子午流注低频治疗仪</w:t>
            </w:r>
          </w:p>
        </w:tc>
        <w:tc>
          <w:tcPr>
            <w:tcW w:w="690" w:type="dxa"/>
            <w:vAlign w:val="center"/>
          </w:tcPr>
          <w:p w14:paraId="21D7FFB1">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615" w:type="dxa"/>
            <w:vAlign w:val="center"/>
          </w:tcPr>
          <w:p w14:paraId="4C4514A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台</w:t>
            </w:r>
          </w:p>
        </w:tc>
        <w:tc>
          <w:tcPr>
            <w:tcW w:w="990" w:type="dxa"/>
            <w:vAlign w:val="center"/>
          </w:tcPr>
          <w:p w14:paraId="7F67AD92">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11.00</w:t>
            </w:r>
          </w:p>
        </w:tc>
        <w:tc>
          <w:tcPr>
            <w:tcW w:w="1035" w:type="dxa"/>
            <w:vAlign w:val="center"/>
          </w:tcPr>
          <w:p w14:paraId="4E809F7A">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22.00</w:t>
            </w:r>
          </w:p>
        </w:tc>
        <w:tc>
          <w:tcPr>
            <w:tcW w:w="975" w:type="dxa"/>
            <w:vAlign w:val="center"/>
          </w:tcPr>
          <w:p w14:paraId="25515E81">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22.00</w:t>
            </w:r>
          </w:p>
        </w:tc>
        <w:tc>
          <w:tcPr>
            <w:tcW w:w="814" w:type="dxa"/>
            <w:vAlign w:val="center"/>
          </w:tcPr>
          <w:p w14:paraId="61C53377">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14:paraId="07AB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5" w:type="dxa"/>
            <w:vAlign w:val="center"/>
          </w:tcPr>
          <w:p w14:paraId="082FF12A">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795" w:type="dxa"/>
            <w:vAlign w:val="center"/>
          </w:tcPr>
          <w:p w14:paraId="689CF93F">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c>
          <w:tcPr>
            <w:tcW w:w="2340" w:type="dxa"/>
            <w:vAlign w:val="center"/>
          </w:tcPr>
          <w:p w14:paraId="4C58194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LED显示屏</w:t>
            </w:r>
          </w:p>
        </w:tc>
        <w:tc>
          <w:tcPr>
            <w:tcW w:w="690" w:type="dxa"/>
            <w:vAlign w:val="center"/>
          </w:tcPr>
          <w:p w14:paraId="4EA980B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615" w:type="dxa"/>
            <w:vAlign w:val="center"/>
          </w:tcPr>
          <w:p w14:paraId="238E8E4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台</w:t>
            </w:r>
          </w:p>
        </w:tc>
        <w:tc>
          <w:tcPr>
            <w:tcW w:w="990" w:type="dxa"/>
            <w:vAlign w:val="center"/>
          </w:tcPr>
          <w:p w14:paraId="51F5CFD2">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25.00</w:t>
            </w:r>
          </w:p>
        </w:tc>
        <w:tc>
          <w:tcPr>
            <w:tcW w:w="1035" w:type="dxa"/>
            <w:vAlign w:val="center"/>
          </w:tcPr>
          <w:p w14:paraId="5A0B6184">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25.00</w:t>
            </w:r>
          </w:p>
        </w:tc>
        <w:tc>
          <w:tcPr>
            <w:tcW w:w="975" w:type="dxa"/>
            <w:vAlign w:val="center"/>
          </w:tcPr>
          <w:p w14:paraId="36854D0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20.00</w:t>
            </w:r>
          </w:p>
        </w:tc>
        <w:tc>
          <w:tcPr>
            <w:tcW w:w="814" w:type="dxa"/>
            <w:vAlign w:val="center"/>
          </w:tcPr>
          <w:p w14:paraId="18330928">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14:paraId="36E0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85" w:type="dxa"/>
            <w:vAlign w:val="center"/>
          </w:tcPr>
          <w:p w14:paraId="6BDAF7A3">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p>
        </w:tc>
        <w:tc>
          <w:tcPr>
            <w:tcW w:w="795" w:type="dxa"/>
            <w:vAlign w:val="center"/>
          </w:tcPr>
          <w:p w14:paraId="12B4F9CE">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c>
          <w:tcPr>
            <w:tcW w:w="2340" w:type="dxa"/>
            <w:vAlign w:val="center"/>
          </w:tcPr>
          <w:p w14:paraId="16B0EB1C">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监护仪</w:t>
            </w:r>
          </w:p>
        </w:tc>
        <w:tc>
          <w:tcPr>
            <w:tcW w:w="690" w:type="dxa"/>
            <w:vAlign w:val="center"/>
          </w:tcPr>
          <w:p w14:paraId="164FFC4A">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615" w:type="dxa"/>
            <w:vAlign w:val="center"/>
          </w:tcPr>
          <w:p w14:paraId="41C30AF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台</w:t>
            </w:r>
          </w:p>
        </w:tc>
        <w:tc>
          <w:tcPr>
            <w:tcW w:w="990" w:type="dxa"/>
            <w:vAlign w:val="center"/>
          </w:tcPr>
          <w:p w14:paraId="5AC5B4C7">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10.00</w:t>
            </w:r>
          </w:p>
        </w:tc>
        <w:tc>
          <w:tcPr>
            <w:tcW w:w="1035" w:type="dxa"/>
            <w:vAlign w:val="center"/>
          </w:tcPr>
          <w:p w14:paraId="682D0CD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10.00</w:t>
            </w:r>
          </w:p>
        </w:tc>
        <w:tc>
          <w:tcPr>
            <w:tcW w:w="975" w:type="dxa"/>
            <w:vAlign w:val="center"/>
          </w:tcPr>
          <w:p w14:paraId="1FCBD2F7">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10.00</w:t>
            </w:r>
          </w:p>
        </w:tc>
        <w:tc>
          <w:tcPr>
            <w:tcW w:w="814" w:type="dxa"/>
            <w:vAlign w:val="center"/>
          </w:tcPr>
          <w:p w14:paraId="1AF78CB1">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14:paraId="6386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85" w:type="dxa"/>
            <w:vAlign w:val="center"/>
          </w:tcPr>
          <w:p w14:paraId="3508D766">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p>
        </w:tc>
        <w:tc>
          <w:tcPr>
            <w:tcW w:w="795" w:type="dxa"/>
            <w:vAlign w:val="center"/>
          </w:tcPr>
          <w:p w14:paraId="422434D6">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c>
          <w:tcPr>
            <w:tcW w:w="2340" w:type="dxa"/>
            <w:vAlign w:val="center"/>
          </w:tcPr>
          <w:p w14:paraId="7642CB57">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触控一体机</w:t>
            </w:r>
          </w:p>
        </w:tc>
        <w:tc>
          <w:tcPr>
            <w:tcW w:w="690" w:type="dxa"/>
            <w:vAlign w:val="center"/>
          </w:tcPr>
          <w:p w14:paraId="6C49E0AA">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615" w:type="dxa"/>
            <w:vAlign w:val="center"/>
          </w:tcPr>
          <w:p w14:paraId="3B071CC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台</w:t>
            </w:r>
          </w:p>
        </w:tc>
        <w:tc>
          <w:tcPr>
            <w:tcW w:w="990" w:type="dxa"/>
            <w:vAlign w:val="center"/>
          </w:tcPr>
          <w:p w14:paraId="19D49E2C">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3.00</w:t>
            </w:r>
          </w:p>
        </w:tc>
        <w:tc>
          <w:tcPr>
            <w:tcW w:w="1035" w:type="dxa"/>
            <w:vAlign w:val="center"/>
          </w:tcPr>
          <w:p w14:paraId="222DB762">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3.00</w:t>
            </w:r>
          </w:p>
        </w:tc>
        <w:tc>
          <w:tcPr>
            <w:tcW w:w="975" w:type="dxa"/>
            <w:vAlign w:val="center"/>
          </w:tcPr>
          <w:p w14:paraId="5AE21E7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3.00</w:t>
            </w:r>
          </w:p>
        </w:tc>
        <w:tc>
          <w:tcPr>
            <w:tcW w:w="814" w:type="dxa"/>
            <w:vAlign w:val="center"/>
          </w:tcPr>
          <w:p w14:paraId="6CA410E7">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14:paraId="22A1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85" w:type="dxa"/>
            <w:vAlign w:val="center"/>
          </w:tcPr>
          <w:p w14:paraId="17894B96">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p>
        </w:tc>
        <w:tc>
          <w:tcPr>
            <w:tcW w:w="795" w:type="dxa"/>
            <w:vAlign w:val="center"/>
          </w:tcPr>
          <w:p w14:paraId="17E1B0D6">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c>
          <w:tcPr>
            <w:tcW w:w="2340" w:type="dxa"/>
            <w:vAlign w:val="center"/>
          </w:tcPr>
          <w:p w14:paraId="4A0E37A4">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脑电生物反馈治疗仪</w:t>
            </w:r>
          </w:p>
        </w:tc>
        <w:tc>
          <w:tcPr>
            <w:tcW w:w="690" w:type="dxa"/>
            <w:vAlign w:val="center"/>
          </w:tcPr>
          <w:p w14:paraId="4D8DB70E">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615" w:type="dxa"/>
            <w:vAlign w:val="center"/>
          </w:tcPr>
          <w:p w14:paraId="167D730A">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套</w:t>
            </w:r>
          </w:p>
        </w:tc>
        <w:tc>
          <w:tcPr>
            <w:tcW w:w="990" w:type="dxa"/>
            <w:vAlign w:val="center"/>
          </w:tcPr>
          <w:p w14:paraId="3E14E25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85.00</w:t>
            </w:r>
          </w:p>
        </w:tc>
        <w:tc>
          <w:tcPr>
            <w:tcW w:w="1035" w:type="dxa"/>
            <w:vAlign w:val="center"/>
          </w:tcPr>
          <w:p w14:paraId="31F1FE8F">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85.00</w:t>
            </w:r>
          </w:p>
        </w:tc>
        <w:tc>
          <w:tcPr>
            <w:tcW w:w="975" w:type="dxa"/>
            <w:vAlign w:val="center"/>
          </w:tcPr>
          <w:p w14:paraId="611CADD7">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80.00</w:t>
            </w:r>
          </w:p>
        </w:tc>
        <w:tc>
          <w:tcPr>
            <w:tcW w:w="814" w:type="dxa"/>
            <w:vAlign w:val="center"/>
          </w:tcPr>
          <w:p w14:paraId="0DDAEC3B">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w:t>
            </w:r>
          </w:p>
        </w:tc>
      </w:tr>
      <w:tr w14:paraId="0CC4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85" w:type="dxa"/>
            <w:vAlign w:val="center"/>
          </w:tcPr>
          <w:p w14:paraId="4FE77716">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p>
        </w:tc>
        <w:tc>
          <w:tcPr>
            <w:tcW w:w="795" w:type="dxa"/>
            <w:vAlign w:val="center"/>
          </w:tcPr>
          <w:p w14:paraId="23077D36">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c>
          <w:tcPr>
            <w:tcW w:w="2340" w:type="dxa"/>
            <w:vAlign w:val="center"/>
          </w:tcPr>
          <w:p w14:paraId="67C31DBB">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生物安全柜</w:t>
            </w:r>
          </w:p>
        </w:tc>
        <w:tc>
          <w:tcPr>
            <w:tcW w:w="690" w:type="dxa"/>
            <w:vAlign w:val="center"/>
          </w:tcPr>
          <w:p w14:paraId="0947447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615" w:type="dxa"/>
            <w:vAlign w:val="center"/>
          </w:tcPr>
          <w:p w14:paraId="40FABD4F">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台</w:t>
            </w:r>
          </w:p>
        </w:tc>
        <w:tc>
          <w:tcPr>
            <w:tcW w:w="990" w:type="dxa"/>
            <w:vAlign w:val="center"/>
          </w:tcPr>
          <w:p w14:paraId="65287AD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10.00</w:t>
            </w:r>
          </w:p>
        </w:tc>
        <w:tc>
          <w:tcPr>
            <w:tcW w:w="1035" w:type="dxa"/>
            <w:vAlign w:val="center"/>
          </w:tcPr>
          <w:p w14:paraId="6989700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10.00</w:t>
            </w:r>
          </w:p>
        </w:tc>
        <w:tc>
          <w:tcPr>
            <w:tcW w:w="975" w:type="dxa"/>
            <w:vAlign w:val="center"/>
          </w:tcPr>
          <w:p w14:paraId="0294FF0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10.00</w:t>
            </w:r>
          </w:p>
        </w:tc>
        <w:tc>
          <w:tcPr>
            <w:tcW w:w="814" w:type="dxa"/>
            <w:vAlign w:val="center"/>
          </w:tcPr>
          <w:p w14:paraId="4186907C">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14:paraId="2614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85" w:type="dxa"/>
            <w:vAlign w:val="center"/>
          </w:tcPr>
          <w:p w14:paraId="5CC799E5">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795" w:type="dxa"/>
            <w:vAlign w:val="center"/>
          </w:tcPr>
          <w:p w14:paraId="7E317C14">
            <w:pPr>
              <w:keepNext w:val="0"/>
              <w:keepLines w:val="0"/>
              <w:pageBreakBefore w:val="0"/>
              <w:widowControl/>
              <w:suppressLineNumbers w:val="0"/>
              <w:kinsoku/>
              <w:wordWrap/>
              <w:overflowPunct/>
              <w:topLinePunct w:val="0"/>
              <w:autoSpaceDE w:val="0"/>
              <w:autoSpaceDN w:val="0"/>
              <w:bidi w:val="0"/>
              <w:adjustRightInd/>
              <w:snapToGrid/>
              <w:spacing w:after="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c>
          <w:tcPr>
            <w:tcW w:w="2340" w:type="dxa"/>
            <w:vAlign w:val="center"/>
          </w:tcPr>
          <w:p w14:paraId="0C5F6E28">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全自动生化分析仪</w:t>
            </w:r>
          </w:p>
        </w:tc>
        <w:tc>
          <w:tcPr>
            <w:tcW w:w="690" w:type="dxa"/>
            <w:vAlign w:val="center"/>
          </w:tcPr>
          <w:p w14:paraId="29B3D17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615" w:type="dxa"/>
            <w:vAlign w:val="center"/>
          </w:tcPr>
          <w:p w14:paraId="06D6AFBE">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套</w:t>
            </w:r>
          </w:p>
        </w:tc>
        <w:tc>
          <w:tcPr>
            <w:tcW w:w="990" w:type="dxa"/>
            <w:vAlign w:val="center"/>
          </w:tcPr>
          <w:p w14:paraId="75FC02C2">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70.00</w:t>
            </w:r>
          </w:p>
        </w:tc>
        <w:tc>
          <w:tcPr>
            <w:tcW w:w="1035" w:type="dxa"/>
            <w:vAlign w:val="center"/>
          </w:tcPr>
          <w:p w14:paraId="51DECC12">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70.00</w:t>
            </w:r>
          </w:p>
        </w:tc>
        <w:tc>
          <w:tcPr>
            <w:tcW w:w="975" w:type="dxa"/>
            <w:shd w:val="clear" w:color="auto" w:fill="auto"/>
            <w:vAlign w:val="center"/>
          </w:tcPr>
          <w:p w14:paraId="2B6B8EA3">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58.00</w:t>
            </w:r>
          </w:p>
        </w:tc>
        <w:tc>
          <w:tcPr>
            <w:tcW w:w="814" w:type="dxa"/>
            <w:shd w:val="clear" w:color="auto" w:fill="auto"/>
            <w:vAlign w:val="center"/>
          </w:tcPr>
          <w:p w14:paraId="65458D63">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w:t>
            </w:r>
          </w:p>
        </w:tc>
      </w:tr>
      <w:tr w14:paraId="7302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315" w:type="dxa"/>
            <w:gridSpan w:val="6"/>
            <w:vAlign w:val="center"/>
          </w:tcPr>
          <w:p w14:paraId="36AB145F">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合计</w:t>
            </w:r>
          </w:p>
        </w:tc>
        <w:tc>
          <w:tcPr>
            <w:tcW w:w="1035" w:type="dxa"/>
            <w:vAlign w:val="center"/>
          </w:tcPr>
          <w:p w14:paraId="35C44DBF">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255.00</w:t>
            </w:r>
          </w:p>
        </w:tc>
        <w:tc>
          <w:tcPr>
            <w:tcW w:w="975" w:type="dxa"/>
            <w:vAlign w:val="center"/>
          </w:tcPr>
          <w:p w14:paraId="0288607F">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223</w:t>
            </w:r>
          </w:p>
        </w:tc>
        <w:tc>
          <w:tcPr>
            <w:tcW w:w="814" w:type="dxa"/>
            <w:vAlign w:val="center"/>
          </w:tcPr>
          <w:p w14:paraId="11D3888B">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default" w:ascii="Times New Roman" w:hAnsi="Times New Roman" w:eastAsia="仿宋_GB2312" w:cs="Times New Roman"/>
                <w:sz w:val="28"/>
                <w:szCs w:val="28"/>
                <w:lang w:val="en-US" w:eastAsia="zh-CN"/>
              </w:rPr>
            </w:pPr>
          </w:p>
        </w:tc>
      </w:tr>
      <w:tr w14:paraId="100D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85" w:type="dxa"/>
          </w:tcPr>
          <w:p w14:paraId="06E35892">
            <w:pPr>
              <w:keepNext w:val="0"/>
              <w:keepLines w:val="0"/>
              <w:pageBreakBefore w:val="0"/>
              <w:numPr>
                <w:ilvl w:val="0"/>
                <w:numId w:val="0"/>
              </w:numPr>
              <w:kinsoku/>
              <w:wordWrap/>
              <w:overflowPunct/>
              <w:topLinePunct w:val="0"/>
              <w:autoSpaceDE/>
              <w:autoSpaceDN/>
              <w:bidi w:val="0"/>
              <w:spacing w:beforeAutospacing="0" w:after="0" w:line="4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w:t>
            </w:r>
          </w:p>
        </w:tc>
        <w:tc>
          <w:tcPr>
            <w:tcW w:w="8254" w:type="dxa"/>
            <w:gridSpan w:val="8"/>
          </w:tcPr>
          <w:p w14:paraId="405FE9EE">
            <w:pPr>
              <w:keepNext w:val="0"/>
              <w:keepLines w:val="0"/>
              <w:pageBreakBefore w:val="0"/>
              <w:numPr>
                <w:ilvl w:val="0"/>
                <w:numId w:val="0"/>
              </w:numPr>
              <w:kinsoku/>
              <w:wordWrap/>
              <w:overflowPunct/>
              <w:topLinePunct w:val="0"/>
              <w:autoSpaceDE/>
              <w:autoSpaceDN/>
              <w:bidi w:val="0"/>
              <w:spacing w:beforeAutospacing="0" w:after="0" w:line="4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采购标的物所属行业：工业-制造业</w:t>
            </w:r>
          </w:p>
        </w:tc>
      </w:tr>
    </w:tbl>
    <w:p w14:paraId="75FA65B9">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outlineLvl w:val="2"/>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二、技术参数要求</w:t>
      </w:r>
    </w:p>
    <w:p w14:paraId="2A86339A">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（一）超声经颅多普勒血流分析仪技术参数</w:t>
      </w:r>
    </w:p>
    <w:p w14:paraId="4EB39ED9">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超声经颅多普勒血流分析仪主机采用便携式一体化设计。</w:t>
      </w:r>
    </w:p>
    <w:p w14:paraId="0D32E8B2">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至少具有1个1.6MHz手持探头和1个4MHz手持探头。</w:t>
      </w:r>
    </w:p>
    <w:p w14:paraId="472DED38">
      <w:pPr>
        <w:pStyle w:val="25"/>
        <w:keepNext w:val="0"/>
        <w:keepLines w:val="0"/>
        <w:pageBreakBefore w:val="0"/>
        <w:kinsoku/>
        <w:wordWrap/>
        <w:overflowPunct/>
        <w:topLinePunct w:val="0"/>
        <w:bidi w:val="0"/>
        <w:adjustRightInd/>
        <w:snapToGrid/>
        <w:spacing w:after="0" w:line="460" w:lineRule="exact"/>
        <w:ind w:left="0" w:right="0" w:rightChars="0" w:firstLine="0" w:firstLineChars="0"/>
        <w:textAlignment w:val="auto"/>
        <w:rPr>
          <w:rFonts w:hint="default" w:ascii="Times New Roman" w:hAnsi="Times New Roman" w:eastAsia="仿宋_GB2312" w:cs="Times New Roman"/>
          <w:sz w:val="28"/>
          <w:szCs w:val="28"/>
          <w:lang w:val="zh-CN" w:eastAsia="zh-Hans"/>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zh-CN" w:eastAsia="zh-Hans"/>
        </w:rPr>
        <w:t>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zh-CN" w:eastAsia="zh-Hans"/>
        </w:rPr>
        <w:t>超声经颅多普勒血流分析仪主机采用双物理信号电路通道设计，单通道检查支持同步显示至少八个深度的频谱图，各通道监测参数均可独立调节。</w:t>
      </w:r>
    </w:p>
    <w:p w14:paraId="27034972">
      <w:pPr>
        <w:pStyle w:val="25"/>
        <w:keepNext w:val="0"/>
        <w:keepLines w:val="0"/>
        <w:pageBreakBefore w:val="0"/>
        <w:kinsoku/>
        <w:wordWrap/>
        <w:overflowPunct/>
        <w:topLinePunct w:val="0"/>
        <w:bidi w:val="0"/>
        <w:adjustRightInd/>
        <w:snapToGrid/>
        <w:spacing w:after="0" w:line="460" w:lineRule="exact"/>
        <w:ind w:left="0" w:right="0" w:rightChars="0" w:firstLine="0" w:firstLineChars="0"/>
        <w:textAlignment w:val="auto"/>
        <w:rPr>
          <w:rFonts w:hint="default" w:ascii="Times New Roman" w:hAnsi="Times New Roman" w:eastAsia="仿宋_GB2312" w:cs="Times New Roman"/>
          <w:sz w:val="28"/>
          <w:szCs w:val="28"/>
          <w:lang w:val="zh-CN" w:eastAsia="zh-Hans"/>
        </w:rPr>
      </w:pPr>
      <w:r>
        <w:rPr>
          <w:rFonts w:hint="default" w:ascii="Times New Roman" w:hAnsi="Times New Roman" w:eastAsia="仿宋_GB2312" w:cs="Times New Roman"/>
          <w:sz w:val="28"/>
          <w:szCs w:val="28"/>
          <w:lang w:val="zh-CN" w:eastAsia="zh-Hans"/>
        </w:rPr>
        <w:t>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zh-CN" w:eastAsia="zh-Hans"/>
        </w:rPr>
        <w:t>超声经颅多普勒血流分析仪主机具有配套使用的操作键盘，功能键数量≥30 个，自定义功能键≥4 个。</w:t>
      </w:r>
    </w:p>
    <w:p w14:paraId="4C15DBB5">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zh-CN" w:eastAsia="zh-Hans"/>
        </w:rPr>
        <w:t>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超声经颅多普勒血流分析仪主机在对大脑中≥50mm 深度动脉血流分析时，最大测速量程≥700cm/s。</w:t>
      </w:r>
    </w:p>
    <w:p w14:paraId="03374964">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★6</w:t>
      </w:r>
      <w:bookmarkStart w:id="67" w:name="OLE_LINK3"/>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超声经颅多普勒血流分析仪主机的监测参数至少包含：Peak、Dias、Mean、PI、RI、S/D、HR、SBI、EMS-9PB</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HITS、TI等</w:t>
      </w:r>
      <w:bookmarkEnd w:id="67"/>
      <w:r>
        <w:rPr>
          <w:rFonts w:hint="default" w:ascii="Times New Roman" w:hAnsi="Times New Roman" w:eastAsia="仿宋_GB2312" w:cs="Times New Roman"/>
          <w:sz w:val="28"/>
          <w:szCs w:val="28"/>
          <w:lang w:val="en-US" w:eastAsia="zh-Hans"/>
        </w:rPr>
        <w:t>。</w:t>
      </w:r>
    </w:p>
    <w:p w14:paraId="094FF9A4">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7</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降噪标识法：标识当前信号噪声处理状态。</w:t>
      </w:r>
    </w:p>
    <w:p w14:paraId="58F28AF0">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8</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动态M波：无限时记录原始血流信息，任何状态下可以实现每1mm间隔的血流信息回放、测量，回放数据在任何电脑上都可以播放。</w:t>
      </w:r>
    </w:p>
    <w:p w14:paraId="117F42DF">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zh-CN" w:eastAsia="zh-Hans"/>
        </w:rPr>
      </w:pPr>
      <w:r>
        <w:rPr>
          <w:rFonts w:hint="default" w:ascii="Times New Roman" w:hAnsi="Times New Roman" w:eastAsia="仿宋_GB2312" w:cs="Times New Roman"/>
          <w:sz w:val="28"/>
          <w:szCs w:val="28"/>
          <w:lang w:val="zh-CN" w:eastAsia="zh-Hans"/>
        </w:rPr>
        <w:t>9</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zh-CN" w:eastAsia="zh-Hans"/>
        </w:rPr>
        <w:t>快照功能：对于异常的数据方便记录；快照频谱都可以进行栓子分析，并且可以手动添加栓子事件；快照频谱数据可以再次分析，并且可以手动标示；频谱图像可以同时进行双向参数计算、显示。</w:t>
      </w:r>
    </w:p>
    <w:p w14:paraId="74B32DE2">
      <w:pPr>
        <w:keepNext w:val="0"/>
        <w:keepLines w:val="0"/>
        <w:pageBreakBefore w:val="0"/>
        <w:kinsoku/>
        <w:wordWrap/>
        <w:overflowPunct/>
        <w:topLinePunct w:val="0"/>
        <w:autoSpaceDE w:val="0"/>
        <w:autoSpaceDN w:val="0"/>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zh-CN" w:eastAsia="zh-Hans"/>
        </w:rPr>
      </w:pPr>
      <w:r>
        <w:rPr>
          <w:rFonts w:hint="default" w:ascii="Times New Roman" w:hAnsi="Times New Roman" w:eastAsia="仿宋_GB2312" w:cs="Times New Roman"/>
          <w:sz w:val="28"/>
          <w:szCs w:val="28"/>
          <w:lang w:val="zh-CN" w:eastAsia="zh-Hans"/>
        </w:rPr>
        <w:t>10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zh-CN" w:eastAsia="zh-Hans"/>
        </w:rPr>
        <w:t>一键报告功能，快速完成报诊断报告。</w:t>
      </w:r>
    </w:p>
    <w:p w14:paraId="0A1E7B13">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11</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具备DICOM3.0网络接口，可连接医院网络。</w:t>
      </w:r>
    </w:p>
    <w:p w14:paraId="05187D77">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微栓子监测系统：具有微栓子的伪差自动识别功能、自动计数功能；微栓子频谱图、纺锤波、声谱图、直方图等呈现方式。</w:t>
      </w:r>
    </w:p>
    <w:p w14:paraId="65357642">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智慧型语音发泡实验软件：发泡实验流程的专家版语音引导、栓子自动计数、发泡试验结果的智能分级。</w:t>
      </w:r>
    </w:p>
    <w:p w14:paraId="3011E0EE">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智慧型发泡试验软件：自动计时、自动计数、自动去除伪差；智能语音指导操作，智能发泡结果分级。</w:t>
      </w:r>
    </w:p>
    <w:p w14:paraId="31871238">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血流动力学检查方面可进行卧立位实验等，满足神经科在焦虑症诊断及帕金森早期发现等。</w:t>
      </w:r>
    </w:p>
    <w:p w14:paraId="5D844077">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16</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预留全自动监护探头及跟踪系统接口。</w:t>
      </w:r>
    </w:p>
    <w:p w14:paraId="60A82521">
      <w:pPr>
        <w:keepNext w:val="0"/>
        <w:keepLines w:val="0"/>
        <w:pageBreakBefore w:val="0"/>
        <w:kinsoku/>
        <w:wordWrap/>
        <w:overflowPunct/>
        <w:topLinePunct w:val="0"/>
        <w:bidi w:val="0"/>
        <w:adjustRightInd/>
        <w:snapToGrid/>
        <w:spacing w:after="0" w:line="460" w:lineRule="exact"/>
        <w:ind w:left="0" w:right="0" w:right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17</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超声经颅多普勒血流分析仪主机的报告输出格式至少支持 WORD、PDF、XLS、JPG等模式。</w:t>
      </w:r>
    </w:p>
    <w:p w14:paraId="4D0C08E2">
      <w:pPr>
        <w:pStyle w:val="7"/>
        <w:rPr>
          <w:rFonts w:hint="default" w:ascii="Times New Roman" w:hAnsi="Times New Roman" w:eastAsia="仿宋_GB2312" w:cs="Times New Roman"/>
          <w:sz w:val="28"/>
          <w:szCs w:val="28"/>
          <w:lang w:val="en-US" w:eastAsia="zh-Hans"/>
        </w:rPr>
      </w:pPr>
    </w:p>
    <w:p w14:paraId="49D45541">
      <w:pPr>
        <w:pStyle w:val="7"/>
        <w:keepNext w:val="0"/>
        <w:keepLines w:val="0"/>
        <w:pageBreakBefore w:val="0"/>
        <w:numPr>
          <w:ilvl w:val="0"/>
          <w:numId w:val="11"/>
        </w:numPr>
        <w:kinsoku/>
        <w:wordWrap/>
        <w:overflowPunct/>
        <w:topLinePunct w:val="0"/>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子午流注低频治疗仪技术参数</w:t>
      </w:r>
    </w:p>
    <w:p w14:paraId="6B31FB7B">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1.子午流注纳甲法开穴查询：即时开穴、定时开穴、某穴位未来五次开穴时间、任意时间开穴查询。</w:t>
      </w:r>
    </w:p>
    <w:p w14:paraId="6B173CE5">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2.灵龟八法开穴查询：即时开穴、定时开穴、某穴位未来五次开穴时间、任意时间开穴查询等。</w:t>
      </w:r>
    </w:p>
    <w:p w14:paraId="3D6CEB7B">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3.病症查询：辩证分型、症候分析、治疗处方、穴位图示等。</w:t>
      </w:r>
    </w:p>
    <w:p w14:paraId="7D396C99">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4.十四经穴位查询：部位、作用、主治、解剖、图形等。</w:t>
      </w:r>
    </w:p>
    <w:p w14:paraId="164FD182">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5.经外奇穴查询：部位、作用、主治、解剖、图形等。</w:t>
      </w:r>
    </w:p>
    <w:p w14:paraId="2D62ECAB">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6.治疗时间设定。</w:t>
      </w:r>
    </w:p>
    <w:p w14:paraId="3158783C">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7.时区设定。</w:t>
      </w:r>
    </w:p>
    <w:p w14:paraId="7E4D0354">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8.真太阳时自动计算。</w:t>
      </w:r>
    </w:p>
    <w:p w14:paraId="74ECB857">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★9.病症信息：≥13种。</w:t>
      </w:r>
    </w:p>
    <w:p w14:paraId="7D2336FC">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★10.多路治疗输出≥10路，治疗强度1-99档可调。</w:t>
      </w:r>
    </w:p>
    <w:p w14:paraId="7B799F69">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11.脉冲频率分多档可调：单一频率、任选一档固定频率不变、频率组合、多档频率等顺序输出。</w:t>
      </w:r>
    </w:p>
    <w:p w14:paraId="59858B59">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★12.治疗输出幅度（额定负载≥500Ω）：输出电压有效值不大于20V，输出电流不大于40mA；最大输出电压有效值≥17V，最大输出电流≥34mA；最高输出频率：1000Hz，（±15%误差），多档可调；</w:t>
      </w:r>
    </w:p>
    <w:p w14:paraId="2D0249BC">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13.输出频率：1.25hz～1khz，15档可调，低频输出。</w:t>
      </w:r>
    </w:p>
    <w:p w14:paraId="4EB56336">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14.电源电压（电源条件220V）：电源适配器直流输出9～24V。</w:t>
      </w:r>
    </w:p>
    <w:p w14:paraId="5D418972">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15.电源电流强度：不超过2A。</w:t>
      </w:r>
    </w:p>
    <w:p w14:paraId="42DE3F43">
      <w:pPr>
        <w:keepNext w:val="0"/>
        <w:keepLines w:val="0"/>
        <w:pageBreakBefore w:val="0"/>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16.正常工作温度：5℃～40℃。</w:t>
      </w:r>
    </w:p>
    <w:p w14:paraId="06D341E1">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17.具备操作指导演示教学视频功能。</w:t>
      </w:r>
    </w:p>
    <w:p w14:paraId="68AD4868">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18.具有≥8寸的多点触控彩色触摸屏。</w:t>
      </w:r>
    </w:p>
    <w:p w14:paraId="6F875559">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19.配备可拆卸分离式支架。</w:t>
      </w:r>
    </w:p>
    <w:p w14:paraId="33C3CF56">
      <w:pPr>
        <w:pageBreakBefore w:val="0"/>
        <w:numPr>
          <w:ilvl w:val="0"/>
          <w:numId w:val="0"/>
        </w:numPr>
        <w:kinsoku/>
        <w:wordWrap/>
        <w:overflowPunct/>
        <w:topLinePunct w:val="0"/>
        <w:autoSpaceDE w:val="0"/>
        <w:autoSpaceDN w:val="0"/>
        <w:bidi w:val="0"/>
        <w:adjustRightInd w:val="0"/>
        <w:spacing w:after="0" w:line="460" w:lineRule="exact"/>
        <w:ind w:leftChars="0"/>
        <w:jc w:val="left"/>
        <w:textAlignment w:val="auto"/>
        <w:outlineLvl w:val="3"/>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w:t>
      </w:r>
      <w:bookmarkStart w:id="68" w:name="OLE_LINK4"/>
      <w:r>
        <w:rPr>
          <w:rFonts w:hint="default" w:ascii="Times New Roman" w:hAnsi="Times New Roman" w:eastAsia="仿宋_GB2312" w:cs="Times New Roman"/>
          <w:sz w:val="28"/>
          <w:szCs w:val="28"/>
          <w:lang w:val="en-US" w:eastAsia="zh-CN"/>
        </w:rPr>
        <w:t>LED显示屏技术参数</w:t>
      </w:r>
      <w:bookmarkEnd w:id="68"/>
    </w:p>
    <w:p w14:paraId="35792937">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1.像素构成：表贴三合一，像素点间距≤4mm，像素密度≥62500点/m²；模组尺寸（㎜）：320×160</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主屏幕面积≥</w:t>
      </w:r>
      <w:r>
        <w:rPr>
          <w:rFonts w:hint="default" w:ascii="Times New Roman" w:hAnsi="Times New Roman" w:eastAsia="仿宋_GB2312" w:cs="Times New Roman"/>
          <w:sz w:val="28"/>
          <w:szCs w:val="28"/>
          <w:lang w:val="en-US" w:eastAsia="zh-CN"/>
        </w:rPr>
        <w:t>12.9</w:t>
      </w:r>
      <w:r>
        <w:rPr>
          <w:rFonts w:hint="default" w:ascii="Times New Roman" w:hAnsi="Times New Roman" w:eastAsia="仿宋_GB2312" w:cs="Times New Roman"/>
          <w:sz w:val="28"/>
          <w:szCs w:val="28"/>
          <w:lang w:val="en-US" w:eastAsia="zh-Hans"/>
        </w:rPr>
        <w:t>m²</w:t>
      </w:r>
      <w:r>
        <w:rPr>
          <w:rFonts w:hint="default" w:ascii="Times New Roman" w:hAnsi="Times New Roman" w:eastAsia="仿宋_GB2312" w:cs="Times New Roman"/>
          <w:sz w:val="28"/>
          <w:szCs w:val="28"/>
          <w:lang w:val="en-US" w:eastAsia="zh-CN"/>
        </w:rPr>
        <w:t>。</w:t>
      </w:r>
    </w:p>
    <w:p w14:paraId="221A02FB">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2.刷新率：≥3840Hz；对比度：≥4500:1；色温：3000K-14000K可调。平整度：≤0.15mm。</w:t>
      </w:r>
    </w:p>
    <w:p w14:paraId="67E2A1C3">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3.支持后拆后维护功能，支持单点/模块亮度、色度校正功能、具备故障自诊断及排查功能。</w:t>
      </w:r>
    </w:p>
    <w:p w14:paraId="50F2073B">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4.模组表面结构：带面罩设计，不反射环境光，对比度高，色彩柔和，LED显示屏安装有防眩光黑色面罩</w:t>
      </w:r>
      <w:r>
        <w:rPr>
          <w:rFonts w:hint="default" w:ascii="Times New Roman" w:hAnsi="Times New Roman" w:eastAsia="仿宋_GB2312" w:cs="Times New Roman"/>
          <w:sz w:val="28"/>
          <w:szCs w:val="28"/>
          <w:lang w:val="en-US" w:eastAsia="zh-CN"/>
        </w:rPr>
        <w:t>。</w:t>
      </w:r>
    </w:p>
    <w:p w14:paraId="263565DA">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5.白平衡亮度（nits）：≥5500；亮度均匀：≥98%；发光点中心距偏差：≤2%。</w:t>
      </w:r>
    </w:p>
    <w:p w14:paraId="1983F40A">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6.低亮高灰：支持EPWM灰阶控制技术提升低灰视觉效果，0-100%亮度时，8-15bits任意灰度设置。</w:t>
      </w:r>
    </w:p>
    <w:p w14:paraId="516118AD">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7.峰值功耗：≤810W/㎡、平均功耗：≤220w/㎡；可视角：水平：≥165°、垂直≥145°。</w:t>
      </w:r>
    </w:p>
    <w:p w14:paraId="4EDFFE3A">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8.LED显示屏图像有降噪、增强、运动补偿、色坐标交换处理、钝化处理、无几何失真和非线性失真现象、消鬼影拖尾，无“毛毛虫”“鬼影”跟随现象。</w:t>
      </w:r>
    </w:p>
    <w:p w14:paraId="0AB1E619">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★9.IP等级:≥IP55，色域≥99%NTSC（需提供色域调节软件著作权证书。）</w:t>
      </w:r>
    </w:p>
    <w:p w14:paraId="3FC1A861">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10.噪声：静音工作：在温度25℃、湿度40%RH、大气压力100.2Kpa条件时，LED显示屏工作状态下要求距离产品四周的1m</w:t>
      </w:r>
      <w:r>
        <w:rPr>
          <w:rFonts w:hint="default" w:ascii="Times New Roman" w:hAnsi="Times New Roman" w:eastAsia="仿宋_GB2312" w:cs="Times New Roman"/>
          <w:sz w:val="28"/>
          <w:szCs w:val="28"/>
          <w:lang w:val="en-US" w:eastAsia="zh-CN"/>
        </w:rPr>
        <w:t>处</w:t>
      </w:r>
      <w:r>
        <w:rPr>
          <w:rFonts w:hint="default" w:ascii="Times New Roman" w:hAnsi="Times New Roman" w:eastAsia="仿宋_GB2312" w:cs="Times New Roman"/>
          <w:sz w:val="28"/>
          <w:szCs w:val="28"/>
          <w:lang w:val="en-US" w:eastAsia="zh-Hans"/>
        </w:rPr>
        <w:t>最大噪声声压＜15dB。</w:t>
      </w:r>
    </w:p>
    <w:p w14:paraId="701D51A0">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★11.阻燃（防火）：PCB板、塑料套件的阻燃等级均达到UL94V-0级。（需提供单独针对PCB</w:t>
      </w:r>
      <w:r>
        <w:rPr>
          <w:rFonts w:hint="default" w:ascii="Times New Roman" w:hAnsi="Times New Roman" w:eastAsia="仿宋_GB2312" w:cs="Times New Roman"/>
          <w:sz w:val="28"/>
          <w:szCs w:val="28"/>
          <w:lang w:val="en-US" w:eastAsia="zh-CN"/>
        </w:rPr>
        <w:t>国家检测机构</w:t>
      </w:r>
      <w:r>
        <w:rPr>
          <w:rFonts w:hint="default" w:ascii="Times New Roman" w:hAnsi="Times New Roman" w:eastAsia="仿宋_GB2312" w:cs="Times New Roman"/>
          <w:sz w:val="28"/>
          <w:szCs w:val="28"/>
          <w:lang w:val="en-US" w:eastAsia="zh-Hans"/>
        </w:rPr>
        <w:t>出具的检测报告复印件）</w:t>
      </w:r>
    </w:p>
    <w:p w14:paraId="310D90AC">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12.振动试验：模拟9级烈度地震2行2列单元组成拼接显示屏，垂直、水平震动10～55～10Hz，峰值加速度0.25g，1倍频程，每一轴向循环扫频50次，每次时间5min，无故障。</w:t>
      </w:r>
    </w:p>
    <w:p w14:paraId="62CA8FF5">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13.为保护观看者视力，LED显示屏光生物安全：符合GB/T 20145-2006/IEC 62471：2006标准的光生物安全及蓝光危害评估检测的无危害类要求（豁免级），具备防蓝光护眼模式。</w:t>
      </w:r>
    </w:p>
    <w:p w14:paraId="4B8C3893">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14.保护技术：具有防潮、防尘、防腐蚀、防电磁干扰、防静电等功能，并具有过压、过流、短路、欠压保护等功能。</w:t>
      </w:r>
    </w:p>
    <w:p w14:paraId="446F8569">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15.抗电强度：抗电强度：U=1500VAC，T=60s，未击穿；泄漏电流：I（漏）≤1mA/㎡。</w:t>
      </w:r>
    </w:p>
    <w:p w14:paraId="5CB5342A">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16.抗UV紫外线：符合5级要求，观看舒适度：符合1级要求。</w:t>
      </w:r>
    </w:p>
    <w:p w14:paraId="6CD4648C">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17.PCB设计：焊盘采用OSP工艺处理，充分保证单模块安装的稳定性和抗氧化性。</w:t>
      </w:r>
    </w:p>
    <w:p w14:paraId="73E47E4F">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18.亮暗线修复：支持模组亮暗线修复功能，可从软硬两方面彻底改善困扰小间距LED安装精度造成的亮、暗线问题。（需提供边缘亮暗线调节软件著作权证书和测试报告。）</w:t>
      </w:r>
      <w:r>
        <w:rPr>
          <w:rFonts w:hint="default" w:ascii="Times New Roman" w:hAnsi="Times New Roman" w:eastAsia="仿宋_GB2312" w:cs="Times New Roman"/>
          <w:sz w:val="28"/>
          <w:szCs w:val="28"/>
          <w:lang w:val="en-US" w:eastAsia="zh-Hans"/>
        </w:rPr>
        <w:br w:type="textWrapping"/>
      </w:r>
      <w:r>
        <w:rPr>
          <w:rFonts w:hint="default" w:ascii="Times New Roman" w:hAnsi="Times New Roman" w:eastAsia="仿宋_GB2312" w:cs="Times New Roman"/>
          <w:sz w:val="28"/>
          <w:szCs w:val="28"/>
          <w:lang w:val="en-US" w:eastAsia="zh-CN"/>
        </w:rPr>
        <w:t>19.电源额定输入电压：200-240VAC，输入频率：50&amp;60Hz。</w:t>
      </w:r>
    </w:p>
    <w:p w14:paraId="7D62616F">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20.电源额定输出电压：V1:+4.5Vdc，额定输出电流：0-40A。</w:t>
      </w:r>
    </w:p>
    <w:p w14:paraId="23F49819">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21.电源电压过冲5%Vout，纹波噪音≤200mV，动态负载10%-100%load：≤800mV（峰值）。</w:t>
      </w:r>
    </w:p>
    <w:p w14:paraId="00C60B37">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22.电源动态负载：10%-100%Load：≤550mV（峰值）。</w:t>
      </w:r>
    </w:p>
    <w:p w14:paraId="7C7348D6">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23.电源需提供开关电源检测报告复印件。</w:t>
      </w:r>
      <w:r>
        <w:rPr>
          <w:rFonts w:hint="default" w:ascii="Times New Roman" w:hAnsi="Times New Roman" w:eastAsia="仿宋_GB2312" w:cs="Times New Roman"/>
          <w:sz w:val="28"/>
          <w:szCs w:val="28"/>
          <w:lang w:val="en-US" w:eastAsia="zh-CN"/>
        </w:rPr>
        <w:br w:type="textWrapping"/>
      </w:r>
      <w:r>
        <w:rPr>
          <w:rFonts w:hint="default" w:ascii="Times New Roman" w:hAnsi="Times New Roman" w:eastAsia="仿宋_GB2312" w:cs="Times New Roman"/>
          <w:sz w:val="28"/>
          <w:szCs w:val="28"/>
          <w:lang w:val="en-US" w:eastAsia="zh-CN"/>
        </w:rPr>
        <w:t>24.接收卡单卡最大带载 512×512像素，最多支持 24 组RGB 并行数据。</w:t>
      </w:r>
    </w:p>
    <w:p w14:paraId="2A383320">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25.支持色彩管理，将显示色域在多个色域之间自由切换，使显示屏色彩更精准。</w:t>
      </w:r>
    </w:p>
    <w:p w14:paraId="61977706">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26.支持18Bit+,使LED显示屏灰阶提升4倍，有效处理低亮时灰度丢失问题，使图像显示更细腻。</w:t>
      </w:r>
    </w:p>
    <w:p w14:paraId="12F2EFDF">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27.采用 12 个标准HUB75接口，具有高稳定性和高可靠性，适用于多种环境的搭建；</w:t>
      </w:r>
    </w:p>
    <w:p w14:paraId="57631109">
      <w:pPr>
        <w:keepNext w:val="0"/>
        <w:keepLines w:val="0"/>
        <w:pageBreakBefore w:val="0"/>
        <w:tabs>
          <w:tab w:val="left" w:pos="4545"/>
        </w:tabs>
        <w:kinsoku/>
        <w:wordWrap/>
        <w:overflowPunct/>
        <w:topLinePunct w:val="0"/>
        <w:autoSpaceDE/>
        <w:autoSpaceDN/>
        <w:bidi w:val="0"/>
        <w:adjustRightInd/>
        <w:snapToGrid/>
        <w:spacing w:after="0" w:line="460" w:lineRule="exact"/>
        <w:ind w:left="0"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28.支持逐点亮色度校正，可以对每个灯点的亮度和色度进行校正，有效消除色差，使整屏的亮度和色度达到高度均匀一致，提高显示屏的画质。</w:t>
      </w:r>
    </w:p>
    <w:p w14:paraId="7DE92A1E">
      <w:pPr>
        <w:pageBreakBefore w:val="0"/>
        <w:numPr>
          <w:ilvl w:val="0"/>
          <w:numId w:val="12"/>
        </w:numPr>
        <w:kinsoku/>
        <w:wordWrap/>
        <w:overflowPunct/>
        <w:topLinePunct w:val="0"/>
        <w:autoSpaceDE w:val="0"/>
        <w:autoSpaceDN w:val="0"/>
        <w:bidi w:val="0"/>
        <w:adjustRightInd w:val="0"/>
        <w:spacing w:after="0" w:line="460" w:lineRule="exact"/>
        <w:ind w:left="0" w:leftChars="0" w:firstLine="0" w:firstLineChars="0"/>
        <w:jc w:val="left"/>
        <w:textAlignment w:val="auto"/>
        <w:outlineLvl w:val="3"/>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监护仪技术参数要求</w:t>
      </w:r>
    </w:p>
    <w:p w14:paraId="457BEDCB">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★1.模块化插件式床边监护仪，主机、显示屏和插件槽一体化设计，主机插槽数≥4个。</w:t>
      </w:r>
    </w:p>
    <w:p w14:paraId="52471C39">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 xml:space="preserve">2.≥12.1寸彩色电容触摸屏，高分辨率≥1280 </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800像素，</w:t>
      </w:r>
      <w:r>
        <w:rPr>
          <w:rFonts w:hint="default" w:ascii="Times New Roman" w:hAnsi="Times New Roman" w:eastAsia="仿宋_GB2312" w:cs="Times New Roman"/>
          <w:sz w:val="28"/>
          <w:szCs w:val="28"/>
          <w:lang w:val="en-US" w:eastAsia="zh-CN"/>
        </w:rPr>
        <w:t>不低于</w:t>
      </w:r>
      <w:r>
        <w:rPr>
          <w:rFonts w:hint="default" w:ascii="Times New Roman" w:hAnsi="Times New Roman" w:eastAsia="仿宋_GB2312" w:cs="Times New Roman"/>
          <w:sz w:val="28"/>
          <w:szCs w:val="28"/>
          <w:lang w:val="en-US" w:eastAsia="zh-Hans"/>
        </w:rPr>
        <w:t>8通道显示，显示屏亮度自动调节。</w:t>
      </w:r>
    </w:p>
    <w:p w14:paraId="15F529D3">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3.配置≥4个USB接口，支持连接存储介质、鼠标、键盘、条码扫描枪等USB设备。</w:t>
      </w:r>
    </w:p>
    <w:p w14:paraId="6A3792D6">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4.具有旁流呼末二氧化碳检测功能，在科室的监护仪中即插即用，具有呼吸窒息报警延迟功能，报警延迟时间设置范围:10s～40s。</w:t>
      </w:r>
    </w:p>
    <w:p w14:paraId="2C4C3D50">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5. CO2气体采样率支持成人:70ml/min、100ml/min、120ml/min和150ml/min 等多种模式可选；小儿、新生儿:70ml/min和100ml/min可选。</w:t>
      </w:r>
    </w:p>
    <w:p w14:paraId="523CD291">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6.支持测量呼吸率，测量范围:0～120rpm，精度±2rpm。</w:t>
      </w:r>
    </w:p>
    <w:p w14:paraId="7D5E6F13">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7.CO2测量时支持对于气道中气体的补偿，保证CO2参数检测的准确性。</w:t>
      </w:r>
    </w:p>
    <w:p w14:paraId="778F9E68">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8.监护仪显示CO2波形支持描线和填充等显示方式。</w:t>
      </w:r>
    </w:p>
    <w:p w14:paraId="46587A97">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9.监护仪界面显示CO2波形走速支持:3mm/s、6.25mm/s、12.5mm/s、25.0 mm/s、50.0mm/s等模式。</w:t>
      </w:r>
    </w:p>
    <w:p w14:paraId="6351FE26">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10.模块在设置的时间内没有监测到病人呼吸，自动进入待命模式。</w:t>
      </w:r>
    </w:p>
    <w:p w14:paraId="6EA7D4D6">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★11.基本功能模块支持心电、呼吸、心率、无创血压、血氧饱和度、脉搏、双通道体温、双通道有创血压及呼末二氧化碳等同时监测。</w:t>
      </w:r>
    </w:p>
    <w:p w14:paraId="2CC80262">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★12.具有显示屏，屏幕尺寸≥5 英寸，内置锂电池供电不小于4小时，无风扇设计。</w:t>
      </w:r>
    </w:p>
    <w:p w14:paraId="17D49616">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13.支持5导心电监测,支持升级12导心电测量，并在监护仪上完成12导静息分析。</w:t>
      </w:r>
    </w:p>
    <w:p w14:paraId="238E91E3">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14.支持房颤心律失常分析功能，支持不少于20种实时心律失常分析。</w:t>
      </w:r>
    </w:p>
    <w:p w14:paraId="2F59F714">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★15.提供ST段分析功能，支持在专门的窗口中分组显示心脏前壁，下壁和侧壁的ST实时片段和参考片段。</w:t>
      </w:r>
    </w:p>
    <w:p w14:paraId="23D28447">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16.监测ST段抬高或者压低</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提供ST报警。</w:t>
      </w:r>
    </w:p>
    <w:p w14:paraId="50598DA3">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17.提供导联类型自动识别功能，具备智能导联脱落监测功能，导联脱落的情况下仍能保持监护。</w:t>
      </w:r>
    </w:p>
    <w:p w14:paraId="7D40B39F">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★18.具有QT/QTc测量功能。</w:t>
      </w:r>
    </w:p>
    <w:p w14:paraId="51DB89F8">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19.无创血压提供手动、自动间隔、连续、序列四种测量模式。</w:t>
      </w:r>
    </w:p>
    <w:p w14:paraId="44AC588D">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20.血氧监测可同时提供灌注指数（PI）的监测。</w:t>
      </w:r>
    </w:p>
    <w:p w14:paraId="5B8820E1">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21.支持双通道有创压IBP监测。</w:t>
      </w:r>
    </w:p>
    <w:p w14:paraId="5F68D8AA">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22.</w:t>
      </w:r>
      <w:r>
        <w:rPr>
          <w:rFonts w:hint="default" w:ascii="Times New Roman" w:hAnsi="Times New Roman" w:eastAsia="仿宋_GB2312" w:cs="Times New Roman"/>
          <w:sz w:val="28"/>
          <w:szCs w:val="28"/>
          <w:lang w:val="en-US" w:eastAsia="zh-Hans"/>
        </w:rPr>
        <w:tab/>
      </w:r>
      <w:r>
        <w:rPr>
          <w:rFonts w:hint="default" w:ascii="Times New Roman" w:hAnsi="Times New Roman" w:eastAsia="仿宋_GB2312" w:cs="Times New Roman"/>
          <w:sz w:val="28"/>
          <w:szCs w:val="28"/>
          <w:lang w:val="en-US" w:eastAsia="zh-Hans"/>
        </w:rPr>
        <w:t>提供肺动脉锲压的监测和PPV参数监测。</w:t>
      </w:r>
    </w:p>
    <w:p w14:paraId="3C2B15C6">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23.支持多达4道IBP波形叠加显示。</w:t>
      </w:r>
    </w:p>
    <w:p w14:paraId="6036C16C">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24.支持升级EtCO2监测模块，</w:t>
      </w:r>
      <w:bookmarkStart w:id="69" w:name="OLE_LINK5"/>
      <w:r>
        <w:rPr>
          <w:rFonts w:hint="default" w:ascii="Times New Roman" w:hAnsi="Times New Roman" w:eastAsia="仿宋_GB2312" w:cs="Times New Roman"/>
          <w:sz w:val="28"/>
          <w:szCs w:val="28"/>
          <w:lang w:val="en-US" w:eastAsia="zh-Hans"/>
        </w:rPr>
        <w:t>采用</w:t>
      </w:r>
      <w:r>
        <w:rPr>
          <w:rFonts w:hint="default" w:ascii="Times New Roman" w:hAnsi="Times New Roman" w:eastAsia="仿宋_GB2312" w:cs="Times New Roman"/>
          <w:sz w:val="28"/>
          <w:szCs w:val="28"/>
          <w:lang w:val="en-US" w:eastAsia="zh-CN"/>
        </w:rPr>
        <w:t>BA220</w:t>
      </w:r>
      <w:r>
        <w:rPr>
          <w:rFonts w:hint="default" w:ascii="Times New Roman" w:hAnsi="Times New Roman" w:eastAsia="仿宋_GB2312" w:cs="Times New Roman"/>
          <w:sz w:val="28"/>
          <w:szCs w:val="28"/>
          <w:lang w:val="en-US" w:eastAsia="zh-Hans"/>
        </w:rPr>
        <w:t>旁流技术</w:t>
      </w:r>
      <w:bookmarkEnd w:id="69"/>
      <w:r>
        <w:rPr>
          <w:rFonts w:hint="default" w:ascii="Times New Roman" w:hAnsi="Times New Roman" w:eastAsia="仿宋_GB2312" w:cs="Times New Roman"/>
          <w:sz w:val="28"/>
          <w:szCs w:val="28"/>
          <w:lang w:val="en-US" w:eastAsia="zh-Hans"/>
        </w:rPr>
        <w:t>，支持升级顺磁氧监测技术进行02监测，水槽要求易用快速更换。</w:t>
      </w:r>
    </w:p>
    <w:p w14:paraId="097F54BA">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25.支持升级BISx4监测模块或者单机，提供不少于4通道EEG，双频指数（BIS），肌电活动（EMG）</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抑制比（SR），频谱边缘频率（SEF）等参数的监测。</w:t>
      </w:r>
    </w:p>
    <w:p w14:paraId="14A294FD">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26.提供功率谱密度（DSA）显示界面，可以直观地显示一段时间内的双侧功率谱分布变化的情况。</w:t>
      </w:r>
    </w:p>
    <w:p w14:paraId="6803EB61">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27.支持升级Scv02 监测，监测组织氧供和氧耗情况。</w:t>
      </w:r>
    </w:p>
    <w:p w14:paraId="7C33B8CF">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28.支持升级RM呼吸力学监测，监测参数包括FEV1.0，RSBI，WOB等17种参数（或以上）。</w:t>
      </w:r>
    </w:p>
    <w:p w14:paraId="2AA8C9A2">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29.当同时监测RM和主流CO2参数时，提供扩展参数，包括容积CO2（VCO2）参数、通气参数和死腔参数，并提供容积CO2曲线。</w:t>
      </w:r>
    </w:p>
    <w:p w14:paraId="218E0E0E">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30.当同时监测RM和旁流CO2或AG参数，并配备有O2监测时，提供扩展参数，包括容积CO2，RQ和EE参数。</w:t>
      </w:r>
    </w:p>
    <w:p w14:paraId="2926FC7A">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31.支持升级NMT监测参数，采用三轴加速度方向识别技术，支持TOF，ST0.1，ST1.0，DBS3.2，DBS3.3，PTC测量模式。</w:t>
      </w:r>
    </w:p>
    <w:p w14:paraId="4250DFBE">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32.支持升级EEG监测参数，支持进行4通道脑电的监测。</w:t>
      </w:r>
    </w:p>
    <w:p w14:paraId="2BB7F0B9">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33.支持升级rSO2组织氧饱和度的监测，无创，连续，适用于成人，小儿和新生儿。</w:t>
      </w:r>
    </w:p>
    <w:p w14:paraId="52B728AE">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34.支持与主流呼吸机品牌的呼吸机相连，实现呼吸机设备的信息在监护仪上显示、存储、记录、打印或者用于参与计算。</w:t>
      </w:r>
    </w:p>
    <w:p w14:paraId="47113061">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35.大字体界面支持6个参数区的设置和显示。</w:t>
      </w:r>
    </w:p>
    <w:p w14:paraId="36A8BA4E">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36.具有图形化报警指示功能，看报警信息更容易。</w:t>
      </w:r>
    </w:p>
    <w:p w14:paraId="718F2DDC">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37.所有参数报警限自动设置。</w:t>
      </w:r>
    </w:p>
    <w:p w14:paraId="2D9ACC09">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38.能够设置护理组，一个护理组能够设置6-12个病人。这些病人之间能够互相进行它床观察。</w:t>
      </w:r>
    </w:p>
    <w:p w14:paraId="09C29B34">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★39.标配具备血液动力学，药物计算，氧合计算，通气计算和肾功能计算功能。</w:t>
      </w:r>
    </w:p>
    <w:p w14:paraId="63AC1DB9">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40.至少40个以上参数的120小时（分辨率1分钟）趋势表、趋势图回顾，4小时（分辨率5秒）趋势表、趋势图回顾。</w:t>
      </w:r>
    </w:p>
    <w:p w14:paraId="7B1D7D9F">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41.至少1000条事件回顾。每条报警事件至少能够存储32秒三道相关波形，以及报警触发时所有测量参数值。</w:t>
      </w:r>
    </w:p>
    <w:p w14:paraId="1B3BFDE0">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42.事件回顾时能够提供报警事件列表。能够根据时间、报警优先级、报警类型和参数组对事件进行筛选。</w:t>
      </w:r>
    </w:p>
    <w:p w14:paraId="40942C24">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★43.具备大于等于48小时全息波形的存储与回顾功能。</w:t>
      </w:r>
    </w:p>
    <w:p w14:paraId="0012217A">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44.≥120小时（分辨率5分钟）ST模板回顾。</w:t>
      </w:r>
    </w:p>
    <w:p w14:paraId="732E0AF0">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45.提供24小时心律失常统计，具有24小时心电综合分析概览（24h ECG综合分析报告），能够提供HR、ST、QT/QTc、心律失常、起搏的统计结果，并能够查看细节。</w:t>
      </w:r>
    </w:p>
    <w:p w14:paraId="029F9627">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46.具有在线帮助功能，能够指导用户掌握如何设置参数。</w:t>
      </w:r>
    </w:p>
    <w:p w14:paraId="221F339E">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47.具有高级参数指导功能，能够指导用户掌握高级参数的使用方法。</w:t>
      </w:r>
    </w:p>
    <w:p w14:paraId="3F3165EF">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48.工作模式提供：至少提供监护模式、待机模式、体外循环模式模式、插管模式，夜间模式、演示模式</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lang w:val="en-US" w:eastAsia="zh-Hans"/>
        </w:rPr>
        <w:t>。</w:t>
      </w:r>
    </w:p>
    <w:p w14:paraId="5ADFCE8A">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49.可升级专业的血流动力学辅助应用，能够图形化显示监测参数，体现参数之间的关系，提供目标治疗决策建议，提供抬腿试验辅助工具，提供心功能图指示。</w:t>
      </w:r>
    </w:p>
    <w:p w14:paraId="0A34217C">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50.提供心肌缺血评估工具，可以快速查看ST值的变化。</w:t>
      </w:r>
    </w:p>
    <w:p w14:paraId="1DB28E8B">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51.可升级早期预警评分功能，并提供用户自定义评分协议的能力。</w:t>
      </w:r>
    </w:p>
    <w:p w14:paraId="1B62BFF6">
      <w:pPr>
        <w:keepNext w:val="0"/>
        <w:keepLines w:val="0"/>
        <w:pageBreakBefore w:val="0"/>
        <w:widowControl w:val="0"/>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52.具备趋势共存界面、呼吸氧合图界面，大字体显示界面，标准显示界面等多种显示界面。</w:t>
      </w:r>
    </w:p>
    <w:p w14:paraId="4720968A">
      <w:pPr>
        <w:pStyle w:val="7"/>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53.标配记录仪，具备打印功能。</w:t>
      </w:r>
    </w:p>
    <w:p w14:paraId="644AF8C9">
      <w:pPr>
        <w:pageBreakBefore w:val="0"/>
        <w:numPr>
          <w:ilvl w:val="0"/>
          <w:numId w:val="12"/>
        </w:numPr>
        <w:kinsoku/>
        <w:wordWrap/>
        <w:overflowPunct/>
        <w:topLinePunct w:val="0"/>
        <w:autoSpaceDE w:val="0"/>
        <w:autoSpaceDN w:val="0"/>
        <w:bidi w:val="0"/>
        <w:adjustRightInd w:val="0"/>
        <w:spacing w:after="0" w:line="460" w:lineRule="exact"/>
        <w:jc w:val="left"/>
        <w:textAlignment w:val="auto"/>
        <w:outlineLvl w:val="3"/>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触控一体机技术参数要求</w:t>
      </w:r>
    </w:p>
    <w:p w14:paraId="0D852D01">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Hans"/>
        </w:rPr>
        <w:t>智能交互</w:t>
      </w:r>
      <w:r>
        <w:rPr>
          <w:rFonts w:hint="default" w:ascii="Times New Roman" w:hAnsi="Times New Roman" w:eastAsia="仿宋_GB2312" w:cs="Times New Roman"/>
          <w:sz w:val="28"/>
          <w:szCs w:val="28"/>
          <w:lang w:val="en-US" w:eastAsia="zh-CN"/>
        </w:rPr>
        <w:t>设备</w:t>
      </w:r>
      <w:r>
        <w:rPr>
          <w:rFonts w:hint="default" w:ascii="Times New Roman" w:hAnsi="Times New Roman" w:eastAsia="仿宋_GB2312" w:cs="Times New Roman"/>
          <w:sz w:val="28"/>
          <w:szCs w:val="28"/>
          <w:lang w:val="en-US" w:eastAsia="zh-Hans"/>
        </w:rPr>
        <w:t>显示尺寸≧75英寸，系统查看“推荐分辨率”必须为3840*2160，无损播放4K ，采用红外触控技术，在Android、windows下均支持20点同时触控及书写</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交互平板功率≤</w:t>
      </w:r>
      <w:r>
        <w:rPr>
          <w:rFonts w:hint="default" w:ascii="Times New Roman" w:hAnsi="Times New Roman" w:eastAsia="仿宋_GB2312" w:cs="Times New Roman"/>
          <w:sz w:val="28"/>
          <w:szCs w:val="28"/>
          <w:lang w:val="en-US" w:eastAsia="zh-CN"/>
        </w:rPr>
        <w:t>50</w:t>
      </w:r>
      <w:r>
        <w:rPr>
          <w:rFonts w:hint="default" w:ascii="Times New Roman" w:hAnsi="Times New Roman" w:eastAsia="仿宋_GB2312" w:cs="Times New Roman"/>
          <w:sz w:val="28"/>
          <w:szCs w:val="28"/>
          <w:lang w:val="en-US" w:eastAsia="zh-Hans"/>
        </w:rPr>
        <w:t>0W，且符合GB21520-2015能源1级要求，验收现场查看。</w:t>
      </w:r>
    </w:p>
    <w:p w14:paraId="432D77BF">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CPU采用</w:t>
      </w:r>
      <w:r>
        <w:rPr>
          <w:rFonts w:hint="default" w:ascii="Times New Roman" w:hAnsi="Times New Roman" w:eastAsia="仿宋_GB2312" w:cs="Times New Roman"/>
          <w:sz w:val="28"/>
          <w:szCs w:val="28"/>
          <w:lang w:val="en-US" w:eastAsia="zh-CN"/>
        </w:rPr>
        <w:t>不低于</w:t>
      </w:r>
      <w:r>
        <w:rPr>
          <w:rFonts w:hint="default" w:ascii="Times New Roman" w:hAnsi="Times New Roman" w:eastAsia="仿宋_GB2312" w:cs="Times New Roman"/>
          <w:sz w:val="28"/>
          <w:szCs w:val="28"/>
          <w:lang w:val="en-US" w:eastAsia="zh-Hans"/>
        </w:rPr>
        <w:t>Intel第12代酷睿I5处理器；电脑模块提供3C强制性认证电脑具备防盗锁孔</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内存：≥ 8G DDR4； 硬盘：≥256G SSD固态硬盘</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标配预装Windows 10操作系统(64Bit）、正版办公软件</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Android 主板具备四核CPU， 内存不小于2G，Android 系统不低于11.0。</w:t>
      </w:r>
    </w:p>
    <w:p w14:paraId="3DB1D9AB">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液晶屏显示部分采用屏幕全贴合技术，提供亮度、书写距离、光影折射、水雾水汽、可视分辨率、抗压撞击、触控可靠性的检测报告，无间隙紧密贴合、无介质填充、无空气间隙。</w:t>
      </w:r>
    </w:p>
    <w:p w14:paraId="176E122F">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Hans"/>
        </w:rPr>
        <w:t>、屏体正面前置2.4G和5G双频wifi和蓝牙信号发射器，Windows及Android均可实现无线上网功能，提供双侧各≧15个快捷键，快捷键可自定义显示时长，中文标识 。交互平板整机须提供隐藏式前置输入接口，翻转式防护盖板，高度不少于4cm，整机非外扩展具备</w:t>
      </w:r>
      <w:r>
        <w:rPr>
          <w:rFonts w:hint="default" w:ascii="Times New Roman" w:hAnsi="Times New Roman" w:eastAsia="仿宋_GB2312" w:cs="Times New Roman"/>
          <w:sz w:val="28"/>
          <w:szCs w:val="28"/>
          <w:lang w:val="en-US" w:eastAsia="zh-CN"/>
        </w:rPr>
        <w:t>不少于</w:t>
      </w:r>
      <w:r>
        <w:rPr>
          <w:rFonts w:hint="default" w:ascii="Times New Roman" w:hAnsi="Times New Roman" w:eastAsia="仿宋_GB2312" w:cs="Times New Roman"/>
          <w:sz w:val="28"/>
          <w:szCs w:val="28"/>
          <w:lang w:val="en-US" w:eastAsia="zh-Hans"/>
        </w:rPr>
        <w:t>6个USB接口（其中至少包含3路USB3.0接口）；具有独立非外扩展的视频输出接口：≥1路HDMI ；≥1路DP等，中文标识,≥8个前置物理按键。 屏体前置按键具有一键PC系统还原物理按钮，带中文丝印标识。</w:t>
      </w:r>
    </w:p>
    <w:p w14:paraId="4EF4F01C">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Hans"/>
        </w:rPr>
        <w:t xml:space="preserve">、一体化4K高清摄像头，1300万，水平视角 120°；拾音距离12米，畸变不大于5%，支持远程巡课系统，人脸识别。AI教学辅助工具，提供应用视频现场查看。 </w:t>
      </w:r>
    </w:p>
    <w:p w14:paraId="299FBC6F">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Hans"/>
        </w:rPr>
        <w:t>、与单位护理平台实现接口对接。</w:t>
      </w:r>
    </w:p>
    <w:p w14:paraId="7C58B76B">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Hans"/>
        </w:rPr>
        <w:t>推车采用全承载式结构，立柱、搁板、挂钩等部件采用优质碳素钢冲压焊接而成</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四轮采用防震防噪结构</w:t>
      </w:r>
      <w:r>
        <w:rPr>
          <w:rFonts w:hint="default" w:ascii="Times New Roman" w:hAnsi="Times New Roman" w:eastAsia="仿宋_GB2312" w:cs="Times New Roman"/>
          <w:sz w:val="28"/>
          <w:szCs w:val="28"/>
          <w:lang w:val="en-US" w:eastAsia="zh-CN"/>
        </w:rPr>
        <w:t>。</w:t>
      </w:r>
    </w:p>
    <w:p w14:paraId="066555D2">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Hans"/>
        </w:rPr>
        <w:t>、任何界面下，进行批注、擦出、切换信号源、截屏等操作，单指书写，两只呼唤、三指息屏，手掌擦除，五指抓取任务处理窗口，应用支持≥20个应用自定义</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具有远程指示光标，可远距离控制光标，实现激光笔演示效果功能。</w:t>
      </w:r>
    </w:p>
    <w:p w14:paraId="543EA168">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Hans"/>
        </w:rPr>
        <w:t xml:space="preserve">、书写工具:至少提供硬笔、智能笔、荧光笔、激光笔、软笔、纹理笔、图章笔、手势笔等不少于9种书写工具，12门以上的学科工具。 </w:t>
      </w:r>
    </w:p>
    <w:p w14:paraId="62A8D585">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具备</w:t>
      </w:r>
      <w:r>
        <w:rPr>
          <w:rFonts w:hint="default" w:ascii="Times New Roman" w:hAnsi="Times New Roman" w:eastAsia="仿宋_GB2312" w:cs="Times New Roman"/>
          <w:sz w:val="28"/>
          <w:szCs w:val="28"/>
          <w:lang w:val="en-US" w:eastAsia="zh-Hans"/>
        </w:rPr>
        <w:t>3C认证</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为保证信息安全，所投软件不存在强制、过度、频繁获取权限的行为，且不能出现在工信部通报的信息违规软件名单中</w:t>
      </w:r>
      <w:r>
        <w:rPr>
          <w:rFonts w:hint="default" w:ascii="Times New Roman" w:hAnsi="Times New Roman" w:eastAsia="仿宋_GB2312" w:cs="Times New Roman"/>
          <w:sz w:val="28"/>
          <w:szCs w:val="28"/>
          <w:lang w:val="en-US" w:eastAsia="zh-CN"/>
        </w:rPr>
        <w:t>。</w:t>
      </w:r>
    </w:p>
    <w:p w14:paraId="2BED7143">
      <w:pPr>
        <w:pageBreakBefore w:val="0"/>
        <w:numPr>
          <w:ilvl w:val="0"/>
          <w:numId w:val="12"/>
        </w:numPr>
        <w:kinsoku/>
        <w:wordWrap/>
        <w:overflowPunct/>
        <w:topLinePunct w:val="0"/>
        <w:autoSpaceDE w:val="0"/>
        <w:autoSpaceDN w:val="0"/>
        <w:bidi w:val="0"/>
        <w:adjustRightInd w:val="0"/>
        <w:spacing w:after="0" w:line="460" w:lineRule="exact"/>
        <w:ind w:left="0" w:leftChars="0" w:firstLine="0" w:firstLineChars="0"/>
        <w:jc w:val="left"/>
        <w:textAlignment w:val="auto"/>
        <w:outlineLvl w:val="3"/>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脑电生物治疗仪技术参数要求</w:t>
      </w:r>
    </w:p>
    <w:p w14:paraId="257C6340">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1.脑电参数可进行单独反馈，以达到通过不同病症的脑电图的改变而采取不同治疗方案的点对点的直接治疗及训练。</w:t>
      </w:r>
    </w:p>
    <w:p w14:paraId="351E234F">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2.产品符合国家医药行业YY0903-2013《脑电生物反馈仪》标准。</w:t>
      </w:r>
    </w:p>
    <w:p w14:paraId="105CE868">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3.脑电反馈的频段可调节，针对某一频段或某几段的脑电波进行增加或减弱训练，a、β、θ、SMR四个波段的分别训练及四个波段的组合训练。</w:t>
      </w:r>
    </w:p>
    <w:p w14:paraId="44D41AED">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★4.服务器可集中控制≥20台终端:即通过服务器可以控制每个终端，无需操作人员对每个终端进行操作。</w:t>
      </w:r>
    </w:p>
    <w:p w14:paraId="4DC5A82A">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5.可以通过服务器统一或自由设定终端训练方式，方便不同类型病人的针对性治疗。</w:t>
      </w:r>
    </w:p>
    <w:p w14:paraId="2CCFC501">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6.通过服务器可以查询、打印病人治疗报告等。</w:t>
      </w:r>
    </w:p>
    <w:p w14:paraId="4DDDBE6B">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★7.任何终端均可分离当作独立单机使用,</w:t>
      </w:r>
      <w:r>
        <w:rPr>
          <w:rFonts w:hint="default" w:ascii="Times New Roman" w:hAnsi="Times New Roman" w:eastAsia="仿宋_GB2312" w:cs="Times New Roman"/>
          <w:sz w:val="28"/>
          <w:szCs w:val="28"/>
          <w:lang w:val="en-GB" w:eastAsia="zh-CN"/>
        </w:rPr>
        <w:t>任何终端可进行不同病症的治疗，可同时为不同患者提供不同的动画进行治疗针对不同疾病的训练方案。</w:t>
      </w:r>
    </w:p>
    <w:p w14:paraId="2AD95A9F">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GB" w:eastAsia="zh-CN"/>
        </w:rPr>
      </w:pP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GB" w:eastAsia="zh-CN"/>
        </w:rPr>
        <w:t>在控制端可以通过wifi控制任意治疗终端的动画选择、难易程度、数据分析等。</w:t>
      </w:r>
    </w:p>
    <w:p w14:paraId="1AEAA4CF">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GB" w:eastAsia="zh-CN"/>
        </w:rPr>
        <w:t>在治疗过程中，所有的训练信息都会被存储，以便医生能够对数据进行进一步的分析，以及能够方便将前后不同训练阶段的情况进行比较，以便随时观察治疗效果。</w:t>
      </w:r>
    </w:p>
    <w:p w14:paraId="00245502">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val="en-GB" w:eastAsia="zh-CN"/>
        </w:rPr>
        <w:t>具备了一个数据分析平台，对患者的病情进行了跟踪性的记录和分析。</w:t>
      </w:r>
    </w:p>
    <w:p w14:paraId="6CA30595">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GB" w:eastAsia="zh-CN"/>
        </w:rPr>
        <w:t>11.可输出疗效报告、原始波形、波形分离、小波分析、快速傅里叶变化（FFT）、时频分析、趋势分析、BBB-2A等。</w:t>
      </w:r>
    </w:p>
    <w:p w14:paraId="77787A29">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GB" w:eastAsia="zh-CN"/>
        </w:rPr>
        <w:t>12.提供多种类型的动画，能针对患者的情况采用相应的动画类型进行治疗，与患者协同互动，达到病情需求和动画的无缝链接。</w:t>
      </w:r>
    </w:p>
    <w:p w14:paraId="43009DAE">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GB" w:eastAsia="zh-CN"/>
        </w:rPr>
        <w:t>13.具备伪差鉴别功能,医务人员能准确,及时发现治疗过程中驱动动画的因素(患者躯体动作产生伪差)，以确保患者更好的配合治疗。</w:t>
      </w:r>
    </w:p>
    <w:p w14:paraId="0D09DBE3">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lang w:val="en-GB" w:eastAsia="zh-CN"/>
        </w:rPr>
        <w:t>脑电参数可进行单独反馈，以达到通过不同病症的脑电图的改变而采取不同治疗方案的点对点的直接治疗及训练。</w:t>
      </w:r>
    </w:p>
    <w:p w14:paraId="6F2BB12C">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15.提供视频连续播放生物反馈软件(通过参数的变化，视频可进行暂停或继续播放的模式)。</w:t>
      </w:r>
    </w:p>
    <w:p w14:paraId="6024FD1C">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16.提供图片抓取播放生物反馈软件(通过参数的变化视频可进行后退或前进的播放模式)。</w:t>
      </w:r>
    </w:p>
    <w:p w14:paraId="152EB347">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17. 脑电(EEG): 噪声电平：≤2.5uV；共模抑制比：≥80dB。</w:t>
      </w:r>
    </w:p>
    <w:p w14:paraId="1EA23B12">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18.通频带：0-250Hz,输入阻抗应：≥80MΩ，输入范围：≥±500uV。</w:t>
      </w:r>
    </w:p>
    <w:p w14:paraId="36F8BEF4">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19.放大倍数：11500倍，误差不超过±10%。</w:t>
      </w:r>
    </w:p>
    <w:p w14:paraId="0C530612">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20.静态工作点：＜200 Uv。</w:t>
      </w:r>
    </w:p>
    <w:p w14:paraId="68121349">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21.电压测量：误差不超过±10%。</w:t>
      </w:r>
    </w:p>
    <w:p w14:paraId="671700D6">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22.时间间隔：误差不超过±5%,时间常数：0.1S，误差不超过±20%。</w:t>
      </w:r>
    </w:p>
    <w:p w14:paraId="2C1441B1">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23.高频截止频率：30Hz，符合A0.9Fc≥0.7； A10≥A1.1Fc要求。</w:t>
      </w:r>
    </w:p>
    <w:p w14:paraId="17B4F8BA">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24.耐极化电压:加士300mV的直流极化电压，偏差为±5%。</w:t>
      </w:r>
    </w:p>
    <w:p w14:paraId="050FB316">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25.脑电电极的生物相容性。</w:t>
      </w:r>
    </w:p>
    <w:p w14:paraId="2AF118CB">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26.与患者接触的材料无细胞毒性、迟发型超敏反应和皮内反应。该材料必须进行生物相容性的试验或评价。</w:t>
      </w:r>
    </w:p>
    <w:p w14:paraId="4CF78415">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27.细胞毒性:≤1级。</w:t>
      </w:r>
    </w:p>
    <w:p w14:paraId="04CECD45">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28.迟发型超敏反应:无迟发型超敏反应。</w:t>
      </w:r>
    </w:p>
    <w:p w14:paraId="27EA728A">
      <w:pPr>
        <w:keepNext w:val="0"/>
        <w:keepLines w:val="0"/>
        <w:pageBreakBefore w:val="0"/>
        <w:widowControl w:val="0"/>
        <w:tabs>
          <w:tab w:val="left" w:pos="420"/>
        </w:tabs>
        <w:kinsoku/>
        <w:wordWrap/>
        <w:overflowPunct/>
        <w:topLinePunct w:val="0"/>
        <w:autoSpaceDE w:val="0"/>
        <w:autoSpaceDN w:val="0"/>
        <w:bidi w:val="0"/>
        <w:adjustRightInd/>
        <w:spacing w:after="0" w:line="360" w:lineRule="auto"/>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29.皮内反应:实验样品和溶剂对照平均积分之差≤1.0。</w:t>
      </w:r>
    </w:p>
    <w:p w14:paraId="36B034E6">
      <w:pPr>
        <w:pageBreakBefore w:val="0"/>
        <w:numPr>
          <w:ilvl w:val="0"/>
          <w:numId w:val="12"/>
        </w:numPr>
        <w:kinsoku/>
        <w:wordWrap/>
        <w:overflowPunct/>
        <w:topLinePunct w:val="0"/>
        <w:autoSpaceDE w:val="0"/>
        <w:autoSpaceDN w:val="0"/>
        <w:bidi w:val="0"/>
        <w:adjustRightInd w:val="0"/>
        <w:spacing w:after="0" w:line="460" w:lineRule="exact"/>
        <w:ind w:left="0" w:leftChars="0" w:firstLine="0" w:firstLineChars="0"/>
        <w:jc w:val="left"/>
        <w:textAlignment w:val="auto"/>
        <w:outlineLvl w:val="3"/>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生物安全柜技术参数要求</w:t>
      </w:r>
    </w:p>
    <w:p w14:paraId="1D71638F">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Hans"/>
        </w:rPr>
        <w:t>分类：B2型，100%外排</w:t>
      </w:r>
      <w:r>
        <w:rPr>
          <w:rFonts w:hint="default" w:ascii="Times New Roman" w:hAnsi="Times New Roman" w:eastAsia="仿宋_GB2312" w:cs="Times New Roman"/>
          <w:sz w:val="28"/>
          <w:szCs w:val="28"/>
          <w:lang w:val="en-US" w:eastAsia="zh-CN"/>
        </w:rPr>
        <w:t>。</w:t>
      </w:r>
    </w:p>
    <w:p w14:paraId="4CCE2F8B">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Hans"/>
        </w:rPr>
        <w:t>台面距离地面高度：750mm（</w:t>
      </w:r>
      <w:r>
        <w:rPr>
          <w:rFonts w:hint="default" w:ascii="Times New Roman" w:hAnsi="Times New Roman" w:eastAsia="仿宋_GB2312" w:cs="Times New Roman"/>
          <w:sz w:val="28"/>
          <w:szCs w:val="28"/>
          <w:lang w:val="en-US" w:eastAsia="zh-CN"/>
        </w:rPr>
        <w:t>其余</w:t>
      </w:r>
      <w:r>
        <w:rPr>
          <w:rFonts w:hint="default" w:ascii="Times New Roman" w:hAnsi="Times New Roman" w:eastAsia="仿宋_GB2312" w:cs="Times New Roman"/>
          <w:sz w:val="28"/>
          <w:szCs w:val="28"/>
          <w:lang w:val="en-US" w:eastAsia="zh-Hans"/>
        </w:rPr>
        <w:t>尺寸可根据要求订制修改）</w:t>
      </w:r>
      <w:r>
        <w:rPr>
          <w:rFonts w:hint="default" w:ascii="Times New Roman" w:hAnsi="Times New Roman" w:eastAsia="仿宋_GB2312" w:cs="Times New Roman"/>
          <w:sz w:val="28"/>
          <w:szCs w:val="28"/>
          <w:lang w:val="en-US" w:eastAsia="zh-CN"/>
        </w:rPr>
        <w:t>。</w:t>
      </w:r>
    </w:p>
    <w:p w14:paraId="2CFF9462">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Hans"/>
        </w:rPr>
        <w:t>风速：平均下降风速：0.33±0.025m/s； 平均吸入口风速0.53±0.025m/s</w:t>
      </w:r>
      <w:r>
        <w:rPr>
          <w:rFonts w:hint="default" w:ascii="Times New Roman" w:hAnsi="Times New Roman" w:eastAsia="仿宋_GB2312" w:cs="Times New Roman"/>
          <w:sz w:val="28"/>
          <w:szCs w:val="28"/>
          <w:lang w:val="en-US" w:eastAsia="zh-CN"/>
        </w:rPr>
        <w:t>。</w:t>
      </w:r>
    </w:p>
    <w:p w14:paraId="72FAB98C">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Hans"/>
        </w:rPr>
        <w:t>系统排风总量：1270 m</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Hans"/>
        </w:rPr>
        <w:t>/h</w:t>
      </w:r>
      <w:r>
        <w:rPr>
          <w:rFonts w:hint="default" w:ascii="Times New Roman" w:hAnsi="Times New Roman" w:eastAsia="仿宋_GB2312" w:cs="Times New Roman"/>
          <w:sz w:val="28"/>
          <w:szCs w:val="28"/>
          <w:lang w:val="en-US" w:eastAsia="zh-CN"/>
        </w:rPr>
        <w:t>。</w:t>
      </w:r>
    </w:p>
    <w:p w14:paraId="6D421D98">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val="en-US" w:eastAsia="zh-Hans"/>
        </w:rPr>
        <w:t>额定功率：≤1800W</w:t>
      </w:r>
      <w:r>
        <w:rPr>
          <w:rFonts w:hint="default" w:ascii="Times New Roman" w:hAnsi="Times New Roman" w:eastAsia="仿宋_GB2312" w:cs="Times New Roman"/>
          <w:sz w:val="28"/>
          <w:szCs w:val="28"/>
          <w:lang w:val="en-US" w:eastAsia="zh-CN"/>
        </w:rPr>
        <w:t>。</w:t>
      </w:r>
    </w:p>
    <w:p w14:paraId="17AA5EDF">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lang w:val="en-US" w:eastAsia="zh-Hans"/>
        </w:rPr>
        <w:t>噪音等级：≤67dB（A）</w:t>
      </w:r>
      <w:r>
        <w:rPr>
          <w:rFonts w:hint="default" w:ascii="Times New Roman" w:hAnsi="Times New Roman" w:eastAsia="仿宋_GB2312" w:cs="Times New Roman"/>
          <w:sz w:val="28"/>
          <w:szCs w:val="28"/>
          <w:lang w:val="en-US" w:eastAsia="zh-CN"/>
        </w:rPr>
        <w:t>。</w:t>
      </w:r>
    </w:p>
    <w:p w14:paraId="2BAF7578">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Hans"/>
        </w:rPr>
        <w:t>照明：≥1000lx</w:t>
      </w:r>
      <w:r>
        <w:rPr>
          <w:rFonts w:hint="default" w:ascii="Times New Roman" w:hAnsi="Times New Roman" w:eastAsia="仿宋_GB2312" w:cs="Times New Roman"/>
          <w:sz w:val="28"/>
          <w:szCs w:val="28"/>
          <w:lang w:val="en-US" w:eastAsia="zh-CN"/>
        </w:rPr>
        <w:t>。</w:t>
      </w:r>
    </w:p>
    <w:p w14:paraId="44D62989">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Hans"/>
        </w:rPr>
        <w:t>过滤效率:送风和排风过滤器均采用硼硅酸盐玻璃纤维材质的高效过滤器，对0.12μm颗粒过滤效率≥99.99%</w:t>
      </w:r>
      <w:r>
        <w:rPr>
          <w:rFonts w:hint="default" w:ascii="Times New Roman" w:hAnsi="Times New Roman" w:eastAsia="仿宋_GB2312" w:cs="Times New Roman"/>
          <w:sz w:val="28"/>
          <w:szCs w:val="28"/>
          <w:lang w:val="en-US" w:eastAsia="zh-CN"/>
        </w:rPr>
        <w:t>。</w:t>
      </w:r>
    </w:p>
    <w:p w14:paraId="2A592396">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US" w:eastAsia="zh-Hans"/>
        </w:rPr>
        <w:t>人员安全性：用碘化钾（KI）法测试，前窗操作口的保护因子≥1×105</w:t>
      </w:r>
      <w:r>
        <w:rPr>
          <w:rFonts w:hint="default" w:ascii="Times New Roman" w:hAnsi="Times New Roman" w:eastAsia="仿宋_GB2312" w:cs="Times New Roman"/>
          <w:sz w:val="28"/>
          <w:szCs w:val="28"/>
          <w:lang w:val="en-US" w:eastAsia="zh-CN"/>
        </w:rPr>
        <w:t>。</w:t>
      </w:r>
    </w:p>
    <w:p w14:paraId="6EA34901">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val="en-US" w:eastAsia="zh-Hans"/>
        </w:rPr>
        <w:t xml:space="preserve">产品安全性：菌落数≤5CFU/次 </w:t>
      </w:r>
      <w:r>
        <w:rPr>
          <w:rFonts w:hint="default" w:ascii="Times New Roman" w:hAnsi="Times New Roman" w:eastAsia="仿宋_GB2312" w:cs="Times New Roman"/>
          <w:sz w:val="28"/>
          <w:szCs w:val="28"/>
          <w:lang w:val="en-US" w:eastAsia="zh-CN"/>
        </w:rPr>
        <w:t>。</w:t>
      </w:r>
    </w:p>
    <w:p w14:paraId="04726D27">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lang w:val="en-US" w:eastAsia="zh-Hans"/>
        </w:rPr>
        <w:t>交叉污染安全性：菌落数≤2CFU/次</w:t>
      </w:r>
      <w:r>
        <w:rPr>
          <w:rFonts w:hint="default" w:ascii="Times New Roman" w:hAnsi="Times New Roman" w:eastAsia="仿宋_GB2312" w:cs="Times New Roman"/>
          <w:sz w:val="28"/>
          <w:szCs w:val="28"/>
          <w:lang w:val="en-US" w:eastAsia="zh-CN"/>
        </w:rPr>
        <w:t>。</w:t>
      </w:r>
    </w:p>
    <w:p w14:paraId="33989CFD">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Hans"/>
        </w:rPr>
        <w:t>2</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安全柜裸露工作区三侧壁板采用优质304不锈钢一体化结构，内部可清洗部位采用圆角处理</w:t>
      </w:r>
      <w:r>
        <w:rPr>
          <w:rFonts w:hint="default" w:ascii="Times New Roman" w:hAnsi="Times New Roman" w:eastAsia="仿宋_GB2312" w:cs="Times New Roman"/>
          <w:sz w:val="28"/>
          <w:szCs w:val="28"/>
          <w:lang w:val="en-US" w:eastAsia="zh-CN"/>
        </w:rPr>
        <w:t>。</w:t>
      </w:r>
    </w:p>
    <w:p w14:paraId="12237CF0">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lang w:val="en-US" w:eastAsia="zh-Hans"/>
        </w:rPr>
        <w:t>工作区采用四面（左右二侧、后部、底部）负压环绕设计工作区内</w:t>
      </w:r>
      <w:r>
        <w:rPr>
          <w:rFonts w:hint="default" w:ascii="Times New Roman" w:hAnsi="Times New Roman" w:eastAsia="仿宋_GB2312" w:cs="Times New Roman"/>
          <w:sz w:val="28"/>
          <w:szCs w:val="28"/>
          <w:lang w:val="en-US" w:eastAsia="zh-CN"/>
        </w:rPr>
        <w:t>。</w:t>
      </w:r>
    </w:p>
    <w:p w14:paraId="1CC9D5D2">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lang w:val="en-US" w:eastAsia="zh-Hans"/>
        </w:rPr>
        <w:t>脚轮设计：脚轮与支架一体化设计，安全柜即可通过脚轮安全移动，也可以通过调节脚轮支脚进行固定和调平</w:t>
      </w:r>
      <w:r>
        <w:rPr>
          <w:rFonts w:hint="default" w:ascii="Times New Roman" w:hAnsi="Times New Roman" w:eastAsia="仿宋_GB2312" w:cs="Times New Roman"/>
          <w:sz w:val="28"/>
          <w:szCs w:val="28"/>
          <w:lang w:val="en-US" w:eastAsia="zh-CN"/>
        </w:rPr>
        <w:t>。</w:t>
      </w:r>
    </w:p>
    <w:p w14:paraId="4BE34274">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lang w:val="en-US" w:eastAsia="zh-Hans"/>
        </w:rPr>
        <w:t>柜体和支架可分离，支架高度可根据实际情况订制修改</w:t>
      </w:r>
      <w:r>
        <w:rPr>
          <w:rFonts w:hint="default" w:ascii="Times New Roman" w:hAnsi="Times New Roman" w:eastAsia="仿宋_GB2312" w:cs="Times New Roman"/>
          <w:sz w:val="28"/>
          <w:szCs w:val="28"/>
          <w:lang w:val="en-US" w:eastAsia="zh-CN"/>
        </w:rPr>
        <w:t>。</w:t>
      </w:r>
    </w:p>
    <w:p w14:paraId="19578337">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lang w:val="en-US" w:eastAsia="zh-Hans"/>
        </w:rPr>
        <w:t>合理的结构设计：安全柜过滤器和风机的维修、更换，都可在安全柜的前侧进行</w:t>
      </w:r>
      <w:r>
        <w:rPr>
          <w:rFonts w:hint="default" w:ascii="Times New Roman" w:hAnsi="Times New Roman" w:eastAsia="仿宋_GB2312" w:cs="Times New Roman"/>
          <w:sz w:val="28"/>
          <w:szCs w:val="28"/>
          <w:lang w:val="en-US" w:eastAsia="zh-CN"/>
        </w:rPr>
        <w:t>。</w:t>
      </w:r>
    </w:p>
    <w:p w14:paraId="0C5475C6">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17.</w:t>
      </w:r>
      <w:r>
        <w:rPr>
          <w:rFonts w:hint="default" w:ascii="Times New Roman" w:hAnsi="Times New Roman" w:eastAsia="仿宋_GB2312" w:cs="Times New Roman"/>
          <w:sz w:val="28"/>
          <w:szCs w:val="28"/>
          <w:lang w:val="en-US" w:eastAsia="zh-Hans"/>
        </w:rPr>
        <w:t>前窗玻璃采用双层夹胶防爆安全玻璃</w:t>
      </w:r>
      <w:r>
        <w:rPr>
          <w:rFonts w:hint="default" w:ascii="Times New Roman" w:hAnsi="Times New Roman" w:eastAsia="仿宋_GB2312" w:cs="Times New Roman"/>
          <w:sz w:val="28"/>
          <w:szCs w:val="28"/>
          <w:lang w:val="en-US" w:eastAsia="zh-CN"/>
        </w:rPr>
        <w:t>。</w:t>
      </w:r>
    </w:p>
    <w:p w14:paraId="4814DE04">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18.</w:t>
      </w:r>
      <w:r>
        <w:rPr>
          <w:rFonts w:hint="default" w:ascii="Times New Roman" w:hAnsi="Times New Roman" w:eastAsia="仿宋_GB2312" w:cs="Times New Roman"/>
          <w:sz w:val="28"/>
          <w:szCs w:val="28"/>
          <w:lang w:val="en-US" w:eastAsia="zh-Hans"/>
        </w:rPr>
        <w:t>高亮度LCD显示屏</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实时动态显示操作区的下降气流流速和流入气流流速，显示安全柜的整体运行时间，</w:t>
      </w:r>
      <w:r>
        <w:rPr>
          <w:rFonts w:hint="default" w:ascii="Times New Roman" w:hAnsi="Times New Roman" w:eastAsia="仿宋_GB2312" w:cs="Times New Roman"/>
          <w:sz w:val="28"/>
          <w:szCs w:val="28"/>
          <w:lang w:val="en-US" w:eastAsia="zh-CN"/>
        </w:rPr>
        <w:t>紫外线</w:t>
      </w:r>
      <w:r>
        <w:rPr>
          <w:rFonts w:hint="default" w:ascii="Times New Roman" w:hAnsi="Times New Roman" w:eastAsia="仿宋_GB2312" w:cs="Times New Roman"/>
          <w:sz w:val="28"/>
          <w:szCs w:val="28"/>
          <w:lang w:val="en-US" w:eastAsia="zh-Hans"/>
        </w:rPr>
        <w:t>灯的运行时间，操作区的温度和湿度，送风和排风过滤器的阻力，显示过滤器的使用时间并由条码显示过滤器的使用寿命</w:t>
      </w:r>
      <w:r>
        <w:rPr>
          <w:rFonts w:hint="default" w:ascii="Times New Roman" w:hAnsi="Times New Roman" w:eastAsia="仿宋_GB2312" w:cs="Times New Roman"/>
          <w:sz w:val="28"/>
          <w:szCs w:val="28"/>
          <w:lang w:val="en-US" w:eastAsia="zh-CN"/>
        </w:rPr>
        <w:t>。</w:t>
      </w:r>
    </w:p>
    <w:p w14:paraId="4DD0A80C">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en-US" w:eastAsia="zh-CN"/>
        </w:rPr>
        <w:t>19.</w:t>
      </w:r>
      <w:r>
        <w:rPr>
          <w:rFonts w:hint="default" w:ascii="Times New Roman" w:hAnsi="Times New Roman" w:eastAsia="仿宋_GB2312" w:cs="Times New Roman"/>
          <w:sz w:val="28"/>
          <w:szCs w:val="28"/>
          <w:lang w:val="en-US" w:eastAsia="zh-Hans"/>
        </w:rPr>
        <w:t>电动控制前窗玻璃门，可同时采用脚踏控制、按键控制或遥控控制，玻璃门升降到安全操作高度时，自动停止升降</w:t>
      </w:r>
      <w:r>
        <w:rPr>
          <w:rFonts w:hint="default" w:ascii="Times New Roman" w:hAnsi="Times New Roman" w:eastAsia="仿宋_GB2312" w:cs="Times New Roman"/>
          <w:sz w:val="28"/>
          <w:szCs w:val="28"/>
          <w:lang w:val="en-US" w:eastAsia="zh-CN"/>
        </w:rPr>
        <w:t>。</w:t>
      </w:r>
    </w:p>
    <w:p w14:paraId="5560FBA1">
      <w:pPr>
        <w:keepNext w:val="0"/>
        <w:keepLines w:val="0"/>
        <w:pageBreakBefore w:val="0"/>
        <w:widowControl w:val="0"/>
        <w:numPr>
          <w:ilvl w:val="0"/>
          <w:numId w:val="0"/>
        </w:numPr>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lang w:val="en-US" w:eastAsia="zh-Hans"/>
        </w:rPr>
        <w:t>遥控控制：安全柜的所有按键操作，都可通过遥控控制实现</w:t>
      </w:r>
      <w:r>
        <w:rPr>
          <w:rFonts w:hint="default" w:ascii="Times New Roman" w:hAnsi="Times New Roman" w:eastAsia="仿宋_GB2312" w:cs="Times New Roman"/>
          <w:sz w:val="28"/>
          <w:szCs w:val="28"/>
          <w:lang w:val="en-US" w:eastAsia="zh-CN"/>
        </w:rPr>
        <w:t>。</w:t>
      </w:r>
    </w:p>
    <w:p w14:paraId="44BFC5A9">
      <w:pPr>
        <w:keepNext w:val="0"/>
        <w:keepLines w:val="0"/>
        <w:pageBreakBefore w:val="0"/>
        <w:widowControl w:val="0"/>
        <w:numPr>
          <w:ilvl w:val="0"/>
          <w:numId w:val="0"/>
        </w:numPr>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lang w:val="en-US" w:eastAsia="zh-Hans"/>
        </w:rPr>
        <w:t>具有预约定时功能，能自动设定安全柜定时开机、关机及紫外灯消毒时间</w:t>
      </w:r>
      <w:r>
        <w:rPr>
          <w:rFonts w:hint="default" w:ascii="Times New Roman" w:hAnsi="Times New Roman" w:eastAsia="仿宋_GB2312" w:cs="Times New Roman"/>
          <w:sz w:val="28"/>
          <w:szCs w:val="28"/>
          <w:lang w:val="en-US" w:eastAsia="zh-CN"/>
        </w:rPr>
        <w:t>。</w:t>
      </w:r>
    </w:p>
    <w:p w14:paraId="5BB195BA">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lang w:val="en-US" w:eastAsia="zh-Hans"/>
        </w:rPr>
        <w:t>严格的气密性检测：安全柜内加压</w:t>
      </w:r>
      <w:r>
        <w:rPr>
          <w:rFonts w:hint="default" w:ascii="Times New Roman" w:hAnsi="Times New Roman" w:eastAsia="仿宋_GB2312" w:cs="Times New Roman"/>
          <w:sz w:val="28"/>
          <w:szCs w:val="28"/>
          <w:lang w:val="en-US" w:eastAsia="zh-CN"/>
        </w:rPr>
        <w:t>达</w:t>
      </w:r>
      <w:r>
        <w:rPr>
          <w:rFonts w:hint="default" w:ascii="Times New Roman" w:hAnsi="Times New Roman" w:eastAsia="仿宋_GB2312" w:cs="Times New Roman"/>
          <w:sz w:val="28"/>
          <w:szCs w:val="28"/>
          <w:lang w:val="en-US" w:eastAsia="zh-Hans"/>
        </w:rPr>
        <w:t>500Pa</w:t>
      </w:r>
      <w:r>
        <w:rPr>
          <w:rFonts w:hint="default" w:ascii="Times New Roman" w:hAnsi="Times New Roman" w:eastAsia="仿宋_GB2312" w:cs="Times New Roman"/>
          <w:sz w:val="28"/>
          <w:szCs w:val="28"/>
          <w:lang w:val="en-US" w:eastAsia="zh-CN"/>
        </w:rPr>
        <w:t>后</w:t>
      </w:r>
      <w:r>
        <w:rPr>
          <w:rFonts w:hint="default" w:ascii="Times New Roman" w:hAnsi="Times New Roman" w:eastAsia="仿宋_GB2312" w:cs="Times New Roman"/>
          <w:sz w:val="28"/>
          <w:szCs w:val="28"/>
          <w:lang w:val="en-US" w:eastAsia="zh-Hans"/>
        </w:rPr>
        <w:t>，保持30min后气压不低于450Pa。</w:t>
      </w:r>
    </w:p>
    <w:p w14:paraId="45ED7D19">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lang w:val="en-US" w:eastAsia="zh-Hans"/>
        </w:rPr>
        <w:t>前窗气流隔断设计：防止气流通过前窗侧壁及上侧进行泄露</w:t>
      </w:r>
      <w:r>
        <w:rPr>
          <w:rFonts w:hint="default" w:ascii="Times New Roman" w:hAnsi="Times New Roman" w:eastAsia="仿宋_GB2312" w:cs="Times New Roman"/>
          <w:sz w:val="28"/>
          <w:szCs w:val="28"/>
          <w:lang w:val="en-US" w:eastAsia="zh-CN"/>
        </w:rPr>
        <w:t>。</w:t>
      </w:r>
    </w:p>
    <w:p w14:paraId="1609E711">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lang w:val="en-US" w:eastAsia="zh-Hans"/>
        </w:rPr>
        <w:t>风机的电机当安全柜在正常运行而不调整电机的速度控制，经过滤器的风压下降50%时，风机的排气量下降不超过10%。</w:t>
      </w:r>
    </w:p>
    <w:p w14:paraId="3CE7E7E6">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lang w:val="en-US" w:eastAsia="zh-Hans"/>
        </w:rPr>
        <w:t>当安全柜前侧高于或低于安全高度时，安全柜会声光报警；过滤器压力超高报警：当过滤器的阻力变大，安全柜会声光报警</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过滤器失效更换报警：当过滤器寿命使用到期后，会有过滤器更换声光报警；当安全柜的气流波动超过标称值的20%时，声光报警</w:t>
      </w:r>
      <w:r>
        <w:rPr>
          <w:rFonts w:hint="default" w:ascii="Times New Roman" w:hAnsi="Times New Roman" w:eastAsia="仿宋_GB2312" w:cs="Times New Roman"/>
          <w:sz w:val="28"/>
          <w:szCs w:val="28"/>
          <w:lang w:val="en-US" w:eastAsia="zh-CN"/>
        </w:rPr>
        <w:t>。</w:t>
      </w:r>
    </w:p>
    <w:p w14:paraId="55E0BA76">
      <w:pPr>
        <w:keepNext w:val="0"/>
        <w:keepLines w:val="0"/>
        <w:pageBreakBefore w:val="0"/>
        <w:widowControl w:val="0"/>
        <w:kinsoku/>
        <w:wordWrap/>
        <w:overflowPunct/>
        <w:topLinePunct w:val="0"/>
        <w:bidi w:val="0"/>
        <w:snapToGrid/>
        <w:spacing w:after="0" w:line="46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26.</w:t>
      </w:r>
      <w:r>
        <w:rPr>
          <w:rFonts w:hint="default" w:ascii="Times New Roman" w:hAnsi="Times New Roman" w:eastAsia="仿宋_GB2312" w:cs="Times New Roman"/>
          <w:sz w:val="28"/>
          <w:szCs w:val="28"/>
          <w:lang w:val="en-US" w:eastAsia="zh-Hans"/>
        </w:rPr>
        <w:t>安全柜风机与玻璃门互锁：当安全柜玻璃门落到最底部时，安全柜风机自动关闭；紫外灯与安全柜玻璃门、风机及照明灯互锁：当玻璃落到底部且照明灯不开启时，紫外灯才能开启</w:t>
      </w:r>
      <w:r>
        <w:rPr>
          <w:rFonts w:hint="default" w:ascii="Times New Roman" w:hAnsi="Times New Roman" w:eastAsia="仿宋_GB2312" w:cs="Times New Roman"/>
          <w:sz w:val="28"/>
          <w:szCs w:val="28"/>
          <w:lang w:val="en-US" w:eastAsia="zh-CN"/>
        </w:rPr>
        <w:t>。</w:t>
      </w:r>
    </w:p>
    <w:p w14:paraId="64B4F8B3">
      <w:pPr>
        <w:pageBreakBefore w:val="0"/>
        <w:numPr>
          <w:ilvl w:val="0"/>
          <w:numId w:val="12"/>
        </w:numPr>
        <w:kinsoku/>
        <w:wordWrap/>
        <w:overflowPunct/>
        <w:topLinePunct w:val="0"/>
        <w:autoSpaceDE w:val="0"/>
        <w:autoSpaceDN w:val="0"/>
        <w:bidi w:val="0"/>
        <w:adjustRightInd w:val="0"/>
        <w:spacing w:after="0" w:line="460" w:lineRule="exact"/>
        <w:ind w:left="0" w:leftChars="0" w:firstLine="0" w:firstLineChars="0"/>
        <w:jc w:val="left"/>
        <w:textAlignment w:val="auto"/>
        <w:outlineLvl w:val="3"/>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全自动生化分析仪技术参数要求</w:t>
      </w:r>
    </w:p>
    <w:p w14:paraId="1131590B">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★1.处理能力：光学比色法恒速≥800测试/小时。</w:t>
      </w:r>
    </w:p>
    <w:p w14:paraId="4AE31A75">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2.分析方法：终点法、速率法、固定时间法、离子选择电极法（选用）等、支持单/双、三/四试剂测试和双波长等。</w:t>
      </w:r>
    </w:p>
    <w:p w14:paraId="71BA121A">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3.仪器可同时支持在线分析项目数：≥70项。</w:t>
      </w:r>
    </w:p>
    <w:p w14:paraId="436B4173">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de-DE" w:eastAsia="zh-Hans"/>
        </w:rPr>
        <w:t>4.样本加样：1.5μl～35μl，0.1μl步进。</w:t>
      </w:r>
    </w:p>
    <w:p w14:paraId="2B44EB82">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de-DE" w:eastAsia="zh-Hans"/>
        </w:rPr>
        <w:t>5.试剂加样：10μl～300μl，0.5μl步进。</w:t>
      </w:r>
    </w:p>
    <w:p w14:paraId="29335431">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de-DE" w:eastAsia="zh-Hans"/>
        </w:rPr>
        <w:t>★6</w:t>
      </w:r>
      <w:r>
        <w:rPr>
          <w:rFonts w:hint="default" w:ascii="Times New Roman" w:hAnsi="Times New Roman" w:eastAsia="仿宋_GB2312" w:cs="Times New Roman"/>
          <w:sz w:val="28"/>
          <w:szCs w:val="28"/>
          <w:lang w:val="en-US" w:eastAsia="zh-Hans"/>
        </w:rPr>
        <w:t>.所有测试项目试剂通道</w:t>
      </w:r>
      <w:r>
        <w:rPr>
          <w:rFonts w:hint="eastAsia" w:eastAsia="仿宋_GB2312" w:cs="Times New Roman"/>
          <w:sz w:val="28"/>
          <w:szCs w:val="28"/>
          <w:lang w:val="en-US" w:eastAsia="zh-CN"/>
        </w:rPr>
        <w:t>均</w:t>
      </w:r>
      <w:r>
        <w:rPr>
          <w:rFonts w:hint="default" w:ascii="Times New Roman" w:hAnsi="Times New Roman" w:eastAsia="仿宋_GB2312" w:cs="Times New Roman"/>
          <w:sz w:val="28"/>
          <w:szCs w:val="28"/>
          <w:lang w:val="en-US" w:eastAsia="zh-CN"/>
        </w:rPr>
        <w:t>封闭</w:t>
      </w:r>
      <w:r>
        <w:rPr>
          <w:rFonts w:hint="default" w:ascii="Times New Roman" w:hAnsi="Times New Roman" w:eastAsia="仿宋_GB2312" w:cs="Times New Roman"/>
          <w:sz w:val="28"/>
          <w:szCs w:val="28"/>
          <w:lang w:val="en-US" w:eastAsia="zh-Hans"/>
        </w:rPr>
        <w:t>，可使用任何国产、进口试剂。</w:t>
      </w:r>
    </w:p>
    <w:p w14:paraId="459812FE">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7</w:t>
      </w:r>
      <w:r>
        <w:rPr>
          <w:rFonts w:hint="default" w:ascii="Times New Roman" w:hAnsi="Times New Roman" w:eastAsia="仿宋_GB2312" w:cs="Times New Roman"/>
          <w:sz w:val="28"/>
          <w:szCs w:val="28"/>
          <w:lang w:val="de-DE" w:eastAsia="zh-Hans"/>
        </w:rPr>
        <w:t>.光学系统：光栅后分光，</w:t>
      </w:r>
      <w:r>
        <w:rPr>
          <w:rFonts w:hint="default" w:ascii="Times New Roman" w:hAnsi="Times New Roman" w:eastAsia="仿宋_GB2312" w:cs="Times New Roman"/>
          <w:sz w:val="28"/>
          <w:szCs w:val="28"/>
          <w:lang w:val="en-US" w:eastAsia="zh-Hans"/>
        </w:rPr>
        <w:t>波长：同时提供≥12 个固定波长，波长范围 340–800nm，可进行单/双波长测试</w:t>
      </w:r>
      <w:r>
        <w:rPr>
          <w:rFonts w:hint="default" w:ascii="Times New Roman" w:hAnsi="Times New Roman" w:eastAsia="仿宋_GB2312" w:cs="Times New Roman"/>
          <w:sz w:val="28"/>
          <w:szCs w:val="28"/>
          <w:lang w:val="de-DE" w:eastAsia="zh-Hans"/>
        </w:rPr>
        <w:t>。</w:t>
      </w:r>
      <w:r>
        <w:rPr>
          <w:rFonts w:hint="default" w:ascii="Times New Roman" w:hAnsi="Times New Roman" w:eastAsia="仿宋_GB2312" w:cs="Times New Roman"/>
          <w:sz w:val="28"/>
          <w:szCs w:val="28"/>
          <w:lang w:val="en-US" w:eastAsia="zh-Hans"/>
        </w:rPr>
        <w:t xml:space="preserve"> </w:t>
      </w:r>
    </w:p>
    <w:p w14:paraId="643927C4">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de-DE" w:eastAsia="zh-Hans"/>
        </w:rPr>
        <w:t>8.进样系统：轨道与圆盘双进样系统优化组合，可同时装载样本≥400 个，配备条码扫描。</w:t>
      </w:r>
    </w:p>
    <w:p w14:paraId="6CC9706D">
      <w:pPr>
        <w:pStyle w:val="26"/>
        <w:keepNext w:val="0"/>
        <w:keepLines w:val="0"/>
        <w:pageBreakBefore w:val="0"/>
        <w:widowControl w:val="0"/>
        <w:tabs>
          <w:tab w:val="left" w:pos="426"/>
        </w:tabs>
        <w:kinsoku/>
        <w:wordWrap/>
        <w:overflowPunct/>
        <w:topLinePunct w:val="0"/>
        <w:autoSpaceDE w:val="0"/>
        <w:autoSpaceDN w:val="0"/>
        <w:bidi w:val="0"/>
        <w:adjustRightInd/>
        <w:snapToGrid/>
        <w:spacing w:after="0" w:line="480" w:lineRule="exact"/>
        <w:ind w:left="0" w:leftChars="0" w:firstLine="0" w:firstLineChars="0"/>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de-DE" w:eastAsia="zh-Hans"/>
        </w:rPr>
        <w:t>9.</w:t>
      </w:r>
      <w:r>
        <w:rPr>
          <w:rFonts w:hint="default" w:ascii="Times New Roman" w:hAnsi="Times New Roman" w:eastAsia="仿宋_GB2312" w:cs="Times New Roman"/>
          <w:sz w:val="28"/>
          <w:szCs w:val="28"/>
          <w:lang w:val="en-US" w:eastAsia="zh-Hans"/>
        </w:rPr>
        <w:t>具有试剂在线装载功能，即仪器在运行过程中可随时添加试剂。</w:t>
      </w:r>
    </w:p>
    <w:p w14:paraId="30258F1F">
      <w:pPr>
        <w:pStyle w:val="26"/>
        <w:keepNext w:val="0"/>
        <w:keepLines w:val="0"/>
        <w:pageBreakBefore w:val="0"/>
        <w:widowControl w:val="0"/>
        <w:tabs>
          <w:tab w:val="left" w:pos="426"/>
        </w:tabs>
        <w:kinsoku/>
        <w:wordWrap/>
        <w:overflowPunct/>
        <w:topLinePunct w:val="0"/>
        <w:autoSpaceDE w:val="0"/>
        <w:autoSpaceDN w:val="0"/>
        <w:bidi w:val="0"/>
        <w:adjustRightInd/>
        <w:snapToGrid/>
        <w:spacing w:after="0" w:line="480" w:lineRule="exact"/>
        <w:ind w:left="0" w:leftChars="0" w:firstLine="0" w:firstLineChars="0"/>
        <w:jc w:val="left"/>
        <w:textAlignment w:val="auto"/>
        <w:rPr>
          <w:rFonts w:hint="default" w:ascii="Times New Roman" w:hAnsi="Times New Roman" w:eastAsia="仿宋_GB2312" w:cs="Times New Roman"/>
          <w:sz w:val="28"/>
          <w:szCs w:val="28"/>
          <w:lang w:val="zh-CN" w:eastAsia="zh-Hans"/>
        </w:rPr>
      </w:pPr>
      <w:r>
        <w:rPr>
          <w:rFonts w:hint="default" w:ascii="Times New Roman" w:hAnsi="Times New Roman" w:eastAsia="仿宋_GB2312" w:cs="Times New Roman"/>
          <w:sz w:val="28"/>
          <w:szCs w:val="28"/>
          <w:lang w:val="en-US" w:eastAsia="zh-Hans"/>
        </w:rPr>
        <w:t>10.具有急诊优先功能：急诊、重测、质控、校准等可通过圆盘样本位优先测试。</w:t>
      </w:r>
    </w:p>
    <w:p w14:paraId="2752510B">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11.</w:t>
      </w:r>
      <w:r>
        <w:rPr>
          <w:rFonts w:hint="default" w:ascii="Times New Roman" w:hAnsi="Times New Roman" w:eastAsia="仿宋_GB2312" w:cs="Times New Roman"/>
          <w:sz w:val="28"/>
          <w:szCs w:val="28"/>
          <w:lang w:val="de-DE" w:eastAsia="zh-Hans"/>
        </w:rPr>
        <w:t>具有圆盘进样方式，有</w:t>
      </w:r>
      <w:r>
        <w:rPr>
          <w:rFonts w:hint="default" w:ascii="Times New Roman" w:hAnsi="Times New Roman" w:eastAsia="仿宋_GB2312" w:cs="Times New Roman"/>
          <w:sz w:val="28"/>
          <w:szCs w:val="28"/>
          <w:lang w:val="en-US" w:eastAsia="zh-Hans"/>
        </w:rPr>
        <w:t>≥</w:t>
      </w:r>
      <w:r>
        <w:rPr>
          <w:rFonts w:hint="default" w:ascii="Times New Roman" w:hAnsi="Times New Roman" w:eastAsia="仿宋_GB2312" w:cs="Times New Roman"/>
          <w:sz w:val="28"/>
          <w:szCs w:val="28"/>
          <w:lang w:val="de-DE" w:eastAsia="zh-Hans"/>
        </w:rPr>
        <w:t>140个固定样本位，其中25个带冷藏功能。</w:t>
      </w:r>
    </w:p>
    <w:p w14:paraId="65A806F5">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★12.试剂位≥120个，试剂仓温度在 2～8℃范围内。</w:t>
      </w:r>
    </w:p>
    <w:p w14:paraId="1437F5FD">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★13.吸光度线性范围 0-3.3 Abs，确保高值异常样本检测。</w:t>
      </w:r>
    </w:p>
    <w:p w14:paraId="620CE873">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★14.最小总反应体积≤100ul，有效节省试剂成本。</w:t>
      </w:r>
    </w:p>
    <w:p w14:paraId="22B55F45">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15.样本探针具有自动冲洗、防撞保护、探测血凝块和空吸检测等功能。</w:t>
      </w:r>
    </w:p>
    <w:p w14:paraId="1746A5FB">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16. 加样针具有堵针检测功能、纵向和横向防撞等功能。</w:t>
      </w:r>
    </w:p>
    <w:p w14:paraId="23B99BD2">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★17.采用非水浴方式恒温，无需添加任何抑菌剂或油等，免除日常维护保养。</w:t>
      </w:r>
    </w:p>
    <w:p w14:paraId="512870D0">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18.清洗装置：清洗装置配带8阶温水自动清洗功能，有效降低携带污染。</w:t>
      </w:r>
    </w:p>
    <w:p w14:paraId="44CE17B0">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en-US" w:eastAsia="zh-Hans"/>
        </w:rPr>
        <w:t>★19.</w:t>
      </w:r>
      <w:r>
        <w:rPr>
          <w:rFonts w:hint="default" w:ascii="Times New Roman" w:hAnsi="Times New Roman" w:eastAsia="仿宋_GB2312" w:cs="Times New Roman"/>
          <w:sz w:val="28"/>
          <w:szCs w:val="28"/>
          <w:lang w:val="de-DE" w:eastAsia="zh-Hans"/>
        </w:rPr>
        <w:t>比色杯采用永久使用的石英玻璃比色杯，节约使用成本，比色杯光径≤5mm，支持单个比色杯更换。</w:t>
      </w:r>
    </w:p>
    <w:p w14:paraId="1AC24313">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de-DE" w:eastAsia="zh-Hans"/>
        </w:rPr>
      </w:pPr>
      <w:r>
        <w:rPr>
          <w:rFonts w:hint="default" w:ascii="Times New Roman" w:hAnsi="Times New Roman" w:eastAsia="仿宋_GB2312" w:cs="Times New Roman"/>
          <w:sz w:val="28"/>
          <w:szCs w:val="28"/>
          <w:lang w:val="de-DE" w:eastAsia="zh-Hans"/>
        </w:rPr>
        <w:t>20.</w:t>
      </w:r>
      <w:r>
        <w:rPr>
          <w:rFonts w:hint="default" w:ascii="Times New Roman" w:hAnsi="Times New Roman" w:eastAsia="仿宋_GB2312" w:cs="Times New Roman"/>
          <w:sz w:val="28"/>
          <w:szCs w:val="28"/>
          <w:lang w:val="en-US" w:eastAsia="zh-Hans"/>
        </w:rPr>
        <w:t>反应时间可在3～20分钟内任意设定，满足不同项目开展需要温控系统。</w:t>
      </w:r>
    </w:p>
    <w:p w14:paraId="60DB53FD">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21.搅拌杆数量≥6个。</w:t>
      </w:r>
    </w:p>
    <w:p w14:paraId="11AE4C2C">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22. Windows 操作系统满足触摸屏操作，反应全程实时监测，具备</w:t>
      </w:r>
      <w:r>
        <w:rPr>
          <w:rFonts w:hint="default" w:ascii="Times New Roman" w:hAnsi="Times New Roman" w:eastAsia="仿宋_GB2312" w:cs="Times New Roman"/>
          <w:sz w:val="28"/>
          <w:szCs w:val="28"/>
          <w:lang w:val="en-US" w:eastAsia="zh-CN"/>
        </w:rPr>
        <w:t>防止</w:t>
      </w:r>
      <w:r>
        <w:rPr>
          <w:rFonts w:hint="default" w:ascii="Times New Roman" w:hAnsi="Times New Roman" w:eastAsia="仿宋_GB2312" w:cs="Times New Roman"/>
          <w:sz w:val="28"/>
          <w:szCs w:val="28"/>
          <w:lang w:val="en-US" w:eastAsia="zh-Hans"/>
        </w:rPr>
        <w:t>项目交叉污染程序、酶线性拓展功能、水质检测功能等。</w:t>
      </w:r>
    </w:p>
    <w:p w14:paraId="53E24D7C">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23.具有自动稀释，自动增量、减量组合功能，结果超限样本自动重测功能。</w:t>
      </w:r>
    </w:p>
    <w:p w14:paraId="56DCFADA">
      <w:pPr>
        <w:keepNext w:val="0"/>
        <w:keepLines w:val="0"/>
        <w:pageBreakBefore w:val="0"/>
        <w:widowControl w:val="0"/>
        <w:kinsoku/>
        <w:wordWrap/>
        <w:overflowPunct/>
        <w:topLinePunct w:val="0"/>
        <w:autoSpaceDE w:val="0"/>
        <w:autoSpaceDN w:val="0"/>
        <w:bidi w:val="0"/>
        <w:adjustRightInd/>
        <w:snapToGrid/>
        <w:spacing w:after="0" w:line="480" w:lineRule="exact"/>
        <w:jc w:val="lef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★24.传输方式：可与实验室LIS系统共同实现双向传输。</w:t>
      </w:r>
    </w:p>
    <w:p w14:paraId="399D35FA">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outlineLvl w:val="2"/>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四、</w:t>
      </w:r>
      <w:r>
        <w:rPr>
          <w:rFonts w:hint="default" w:ascii="Times New Roman" w:hAnsi="Times New Roman" w:eastAsia="仿宋_GB2312" w:cs="Times New Roman"/>
          <w:sz w:val="28"/>
          <w:szCs w:val="28"/>
          <w:lang w:val="en-US" w:eastAsia="zh-Hans"/>
        </w:rPr>
        <w:t>商务要求</w:t>
      </w:r>
    </w:p>
    <w:p w14:paraId="6BCA9C96">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1、交货时间：自合同签订之日起30个日历天内供货。</w:t>
      </w:r>
    </w:p>
    <w:p w14:paraId="10DC6923">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2、安装调试（含验收）时间：到货之日起30个日历天内完成</w:t>
      </w:r>
      <w:r>
        <w:rPr>
          <w:rFonts w:hint="default" w:ascii="Times New Roman" w:hAnsi="Times New Roman" w:eastAsia="仿宋_GB2312" w:cs="Times New Roman"/>
          <w:sz w:val="28"/>
          <w:szCs w:val="28"/>
          <w:lang w:val="en-US" w:eastAsia="zh-Hans"/>
        </w:rPr>
        <w:t>。</w:t>
      </w:r>
    </w:p>
    <w:p w14:paraId="32761909">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3</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交货地点：大理州第二人民医院指定地点。</w:t>
      </w:r>
    </w:p>
    <w:p w14:paraId="2A15A704">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4</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包装和运输要求：(1)设备外包装需采用硬质材料包装，四面紧固，内部采购缓冲材料包装，零配件包装完好；(2)运输过程中不得暴力运输，需保证设备外包装的完好。</w:t>
      </w:r>
    </w:p>
    <w:p w14:paraId="419ED16D">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Hans"/>
        </w:rPr>
        <w:t>5</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交货方式</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由中标方负责免费运输至采购人指定位置，双方在场接收</w:t>
      </w:r>
      <w:r>
        <w:rPr>
          <w:rFonts w:hint="default" w:ascii="Times New Roman" w:hAnsi="Times New Roman" w:eastAsia="仿宋_GB2312" w:cs="Times New Roman"/>
          <w:sz w:val="28"/>
          <w:szCs w:val="28"/>
          <w:lang w:val="en-US" w:eastAsia="zh-CN"/>
        </w:rPr>
        <w:t>。</w:t>
      </w:r>
    </w:p>
    <w:p w14:paraId="29DBBD93">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Hans"/>
        </w:rPr>
        <w:t>6</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安装培训要求：免费安装并提供现场培训，在安装</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培训</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验收过程中产生的一切费用，由中标方承担。</w:t>
      </w:r>
    </w:p>
    <w:p w14:paraId="1A38BC23">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Hans"/>
        </w:rPr>
        <w:t>验收要求及标准：(1)按照招标文件要求及投标文件所投的设备品牌</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型号</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数量进行验收；(2)设备到货后查看设备外包装</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外观</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铭牌</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合格证</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检测证书等；(3)按照招标文件要求及投标文件核对设备配置；(4)按照招标文件要求及投标文件对照参数进行验收；(5)按照投标文件内承诺的技术培训等进行验收；(6)对治疗或检查后打印的报告进行验收。</w:t>
      </w:r>
    </w:p>
    <w:p w14:paraId="22BC9C05">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Hans"/>
        </w:rPr>
        <w:t>付款方式：</w:t>
      </w:r>
      <w:r>
        <w:rPr>
          <w:rFonts w:hint="default" w:ascii="Times New Roman" w:hAnsi="Times New Roman" w:eastAsia="仿宋_GB2312" w:cs="Times New Roman"/>
          <w:sz w:val="28"/>
          <w:szCs w:val="28"/>
          <w:lang w:val="en-US" w:eastAsia="zh-CN"/>
        </w:rPr>
        <w:t>经验收合格后收到发票之起10个日历天内向供应商支付合同金额的90%，质保期满2年，设备运行正常，未出现违约情况，向供应商支付10%合同尾款。</w:t>
      </w:r>
    </w:p>
    <w:p w14:paraId="7562EFF9">
      <w:pPr>
        <w:keepNext w:val="0"/>
        <w:keepLines w:val="0"/>
        <w:pageBreakBefore w:val="0"/>
        <w:widowControl w:val="0"/>
        <w:kinsoku/>
        <w:wordWrap/>
        <w:overflowPunct/>
        <w:topLinePunct w:val="0"/>
        <w:autoSpaceDE/>
        <w:autoSpaceDN/>
        <w:bidi w:val="0"/>
        <w:adjustRightInd/>
        <w:snapToGrid/>
        <w:spacing w:beforeAutospacing="0"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val="en-US" w:eastAsia="zh-Hans"/>
        </w:rPr>
        <w:t>质保期</w:t>
      </w:r>
      <w:r>
        <w:rPr>
          <w:rFonts w:hint="default" w:ascii="Times New Roman" w:hAnsi="Times New Roman" w:eastAsia="仿宋_GB2312" w:cs="Times New Roman"/>
          <w:sz w:val="28"/>
          <w:szCs w:val="28"/>
          <w:lang w:val="en-US" w:eastAsia="zh-CN"/>
        </w:rPr>
        <w:t>：整机质保至少两年（包含所有零配件、易损耗配件等），</w:t>
      </w:r>
      <w:r>
        <w:rPr>
          <w:rFonts w:hint="default" w:ascii="Times New Roman" w:hAnsi="Times New Roman" w:eastAsia="仿宋_GB2312" w:cs="Times New Roman"/>
          <w:sz w:val="28"/>
          <w:szCs w:val="28"/>
          <w:lang w:val="en-US" w:eastAsia="zh-Hans"/>
        </w:rPr>
        <w:t>自验收合格之日起计算。</w:t>
      </w:r>
    </w:p>
    <w:p w14:paraId="32D641E8">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lang w:val="en-US" w:eastAsia="zh-Hans"/>
        </w:rPr>
        <w:t>维护保养要求：（1）在质保期内，中标方免费负责处理设备出现的所有故障，每6个月指派工程师至现场进行维护保养并解决使用过程中出现的问题，对采购人使用科室操作人员进行培训；（2）在质保期满后，中标方必须提供对设备技术</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维修维护等服务，对设备维护保养只能收取零配件费用，免收派遣费</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差旅费等一切其他费用，终身负责维修。</w:t>
      </w:r>
    </w:p>
    <w:p w14:paraId="01EB7190">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lang w:val="en-US" w:eastAsia="zh-Hans"/>
        </w:rPr>
        <w:t>故障响应要求：（1）设置售后服务电话；（2）接到故障维修电话后，需立即响应，并在2小时内做出答复，无法远程操作解决的需在48小时内到达现场进行维修，直至故障解除。</w:t>
      </w:r>
    </w:p>
    <w:p w14:paraId="0A9EA372">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val="en-US" w:eastAsia="zh-Hans"/>
        </w:rPr>
        <w:t>培训要求：（1）设备安装调试完毕后，免费组织工程师进行技术培训直至使用科室操作人员及设备科工作人员完全掌握使用方法</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独立完成操作</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掌握基本故障排除方法</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日常维护保养方法等；（2）质保期间，工程师至现场进行巡检时需根据使用情况开展培训，更好地服务使用科室；（3）若采购人提出培训需求，中标方需全面配合免费协调工程师开展培训。</w:t>
      </w:r>
    </w:p>
    <w:p w14:paraId="138AFD40">
      <w:pPr>
        <w:keepNext w:val="0"/>
        <w:keepLines w:val="0"/>
        <w:pageBreakBefore w:val="0"/>
        <w:widowControl w:val="0"/>
        <w:tabs>
          <w:tab w:val="left" w:pos="420"/>
        </w:tabs>
        <w:kinsoku/>
        <w:wordWrap/>
        <w:overflowPunct/>
        <w:topLinePunct w:val="0"/>
        <w:autoSpaceDE/>
        <w:autoSpaceDN/>
        <w:bidi w:val="0"/>
        <w:adjustRightInd/>
        <w:snapToGrid/>
        <w:spacing w:after="0" w:line="460" w:lineRule="exact"/>
        <w:textAlignment w:val="auto"/>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lang w:val="en-US" w:eastAsia="zh-Hans"/>
        </w:rPr>
        <w:t>技术服务要求：（1）设备经安装调试后工程师应将设备所有的功能</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各模块的作用充分介绍；（2）使用人员在操作过程中提出的问题应全面进行分析</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指导；（3）终身免费负责系统软件升级。</w:t>
      </w:r>
    </w:p>
    <w:p w14:paraId="3562E3D1">
      <w:pPr>
        <w:pStyle w:val="23"/>
        <w:jc w:val="left"/>
        <w:outlineLvl w:val="2"/>
        <w:rPr>
          <w:rFonts w:hint="default" w:ascii="Times New Roman" w:hAnsi="Times New Roman" w:eastAsia="仿宋_GB2312" w:cs="Times New Roman"/>
          <w:sz w:val="28"/>
          <w:szCs w:val="28"/>
          <w:lang w:val="en-US" w:eastAsia="zh-Hans"/>
        </w:rPr>
      </w:pP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lang w:val="en-US" w:eastAsia="zh-Hans"/>
        </w:rPr>
        <w:t>备品备件质量要求：设备所配备的备件质量需保证，可提供包括但不限于产品铭牌</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标签</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合格证</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质量检测报告或证明</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Hans"/>
        </w:rPr>
        <w:t>注册证或备案凭证。</w:t>
      </w:r>
    </w:p>
    <w:p w14:paraId="67580D4F">
      <w:pPr>
        <w:pStyle w:val="23"/>
        <w:jc w:val="left"/>
        <w:rPr>
          <w:rFonts w:hint="default" w:ascii="Times New Roman" w:hAnsi="Times New Roman" w:cs="Times New Roman"/>
          <w:sz w:val="28"/>
          <w:szCs w:val="28"/>
        </w:rPr>
      </w:pPr>
    </w:p>
    <w:p w14:paraId="5717EBAA">
      <w:pPr>
        <w:pStyle w:val="23"/>
        <w:rPr>
          <w:rFonts w:hint="default" w:ascii="Times New Roman" w:hAnsi="Times New Roman" w:cs="Times New Roman"/>
          <w:sz w:val="28"/>
          <w:szCs w:val="28"/>
        </w:rPr>
      </w:pPr>
    </w:p>
    <w:p w14:paraId="1250AE58">
      <w:pPr>
        <w:pStyle w:val="23"/>
        <w:jc w:val="center"/>
        <w:outlineLvl w:val="1"/>
        <w:rPr>
          <w:rFonts w:hint="default" w:ascii="Times New Roman" w:hAnsi="Times New Roman" w:eastAsia="仿宋_GB2312" w:cs="Times New Roman"/>
          <w:b/>
          <w:sz w:val="28"/>
          <w:szCs w:val="28"/>
        </w:rPr>
      </w:pPr>
    </w:p>
    <w:p w14:paraId="03E37413">
      <w:pPr>
        <w:pStyle w:val="23"/>
        <w:jc w:val="center"/>
        <w:outlineLvl w:val="1"/>
        <w:rPr>
          <w:rFonts w:hint="default" w:ascii="Times New Roman" w:hAnsi="Times New Roman" w:eastAsia="仿宋_GB2312" w:cs="Times New Roman"/>
          <w:b/>
          <w:sz w:val="28"/>
          <w:szCs w:val="28"/>
        </w:rPr>
      </w:pPr>
    </w:p>
    <w:p w14:paraId="2811A889">
      <w:pPr>
        <w:pStyle w:val="23"/>
        <w:jc w:val="center"/>
        <w:outlineLvl w:val="1"/>
        <w:rPr>
          <w:rFonts w:hint="default" w:ascii="Times New Roman" w:hAnsi="Times New Roman" w:eastAsia="仿宋_GB2312" w:cs="Times New Roman"/>
          <w:b/>
          <w:sz w:val="28"/>
          <w:szCs w:val="28"/>
        </w:rPr>
      </w:pPr>
    </w:p>
    <w:p w14:paraId="6AFB9539">
      <w:pPr>
        <w:pStyle w:val="23"/>
        <w:jc w:val="center"/>
        <w:outlineLvl w:val="1"/>
        <w:rPr>
          <w:rFonts w:hint="default" w:ascii="Times New Roman" w:hAnsi="Times New Roman" w:eastAsia="仿宋_GB2312" w:cs="Times New Roman"/>
          <w:b/>
          <w:sz w:val="28"/>
          <w:szCs w:val="28"/>
        </w:rPr>
      </w:pPr>
    </w:p>
    <w:p w14:paraId="7C18B4CD">
      <w:pPr>
        <w:pStyle w:val="23"/>
        <w:jc w:val="center"/>
        <w:outlineLvl w:val="1"/>
        <w:rPr>
          <w:rFonts w:hint="default" w:ascii="Times New Roman" w:hAnsi="Times New Roman" w:eastAsia="仿宋_GB2312" w:cs="Times New Roman"/>
          <w:b/>
          <w:sz w:val="28"/>
          <w:szCs w:val="28"/>
        </w:rPr>
      </w:pPr>
    </w:p>
    <w:p w14:paraId="71D85843">
      <w:pPr>
        <w:pStyle w:val="23"/>
        <w:jc w:val="center"/>
        <w:outlineLvl w:val="1"/>
        <w:rPr>
          <w:rFonts w:hint="default" w:ascii="Times New Roman" w:hAnsi="Times New Roman" w:eastAsia="仿宋_GB2312" w:cs="Times New Roman"/>
          <w:b/>
          <w:sz w:val="28"/>
          <w:szCs w:val="28"/>
        </w:rPr>
      </w:pPr>
    </w:p>
    <w:p w14:paraId="097D635F">
      <w:pPr>
        <w:pStyle w:val="23"/>
        <w:jc w:val="center"/>
        <w:outlineLvl w:val="1"/>
        <w:rPr>
          <w:rFonts w:hint="default" w:ascii="Times New Roman" w:hAnsi="Times New Roman" w:eastAsia="仿宋_GB2312" w:cs="Times New Roman"/>
          <w:b/>
          <w:sz w:val="28"/>
          <w:szCs w:val="28"/>
        </w:rPr>
      </w:pPr>
    </w:p>
    <w:p w14:paraId="34ED485A">
      <w:pPr>
        <w:pStyle w:val="23"/>
        <w:jc w:val="center"/>
        <w:outlineLvl w:val="1"/>
        <w:rPr>
          <w:rFonts w:hint="default" w:ascii="Times New Roman" w:hAnsi="Times New Roman" w:eastAsia="仿宋_GB2312" w:cs="Times New Roman"/>
          <w:b/>
          <w:sz w:val="28"/>
          <w:szCs w:val="28"/>
        </w:rPr>
      </w:pPr>
    </w:p>
    <w:p w14:paraId="6AFCE759">
      <w:pPr>
        <w:pStyle w:val="23"/>
        <w:jc w:val="center"/>
        <w:outlineLvl w:val="1"/>
        <w:rPr>
          <w:rFonts w:hint="default" w:ascii="Times New Roman" w:hAnsi="Times New Roman" w:eastAsia="仿宋_GB2312" w:cs="Times New Roman"/>
          <w:b/>
          <w:sz w:val="28"/>
          <w:szCs w:val="28"/>
        </w:rPr>
      </w:pPr>
    </w:p>
    <w:p w14:paraId="0FE4F79B">
      <w:pPr>
        <w:pStyle w:val="23"/>
        <w:jc w:val="center"/>
        <w:outlineLvl w:val="1"/>
        <w:rPr>
          <w:rFonts w:hint="default" w:ascii="Times New Roman" w:hAnsi="Times New Roman" w:eastAsia="仿宋_GB2312" w:cs="Times New Roman"/>
          <w:b/>
          <w:sz w:val="28"/>
          <w:szCs w:val="28"/>
        </w:rPr>
      </w:pPr>
    </w:p>
    <w:p w14:paraId="3CB0E192">
      <w:pPr>
        <w:pStyle w:val="23"/>
        <w:jc w:val="center"/>
        <w:outlineLvl w:val="1"/>
        <w:rPr>
          <w:rFonts w:hint="default" w:ascii="Times New Roman" w:hAnsi="Times New Roman" w:eastAsia="仿宋_GB2312" w:cs="Times New Roman"/>
          <w:b/>
          <w:sz w:val="28"/>
          <w:szCs w:val="28"/>
        </w:rPr>
      </w:pPr>
    </w:p>
    <w:p w14:paraId="1A366180">
      <w:pPr>
        <w:pStyle w:val="23"/>
        <w:jc w:val="center"/>
        <w:outlineLvl w:val="1"/>
        <w:rPr>
          <w:rFonts w:hint="default" w:ascii="Times New Roman" w:hAnsi="Times New Roman" w:eastAsia="仿宋_GB2312" w:cs="Times New Roman"/>
          <w:b/>
          <w:sz w:val="28"/>
          <w:szCs w:val="28"/>
        </w:rPr>
      </w:pPr>
    </w:p>
    <w:p w14:paraId="697CD4BF">
      <w:pPr>
        <w:pStyle w:val="23"/>
        <w:jc w:val="center"/>
        <w:outlineLvl w:val="1"/>
        <w:rPr>
          <w:rFonts w:hint="default" w:ascii="Times New Roman" w:hAnsi="Times New Roman" w:eastAsia="仿宋_GB2312" w:cs="Times New Roman"/>
          <w:b/>
          <w:sz w:val="28"/>
          <w:szCs w:val="28"/>
        </w:rPr>
      </w:pPr>
    </w:p>
    <w:p w14:paraId="4C21F75D">
      <w:pPr>
        <w:pStyle w:val="23"/>
        <w:jc w:val="center"/>
        <w:outlineLvl w:val="1"/>
        <w:rPr>
          <w:rFonts w:hint="default" w:ascii="Times New Roman" w:hAnsi="Times New Roman" w:eastAsia="仿宋_GB2312" w:cs="Times New Roman"/>
          <w:b/>
          <w:sz w:val="28"/>
          <w:szCs w:val="28"/>
        </w:rPr>
      </w:pPr>
    </w:p>
    <w:p w14:paraId="394CBED9">
      <w:pPr>
        <w:pStyle w:val="23"/>
        <w:jc w:val="center"/>
        <w:outlineLvl w:val="1"/>
        <w:rPr>
          <w:rFonts w:hint="default" w:ascii="Times New Roman" w:hAnsi="Times New Roman" w:eastAsia="仿宋_GB2312" w:cs="Times New Roman"/>
          <w:b/>
          <w:sz w:val="28"/>
          <w:szCs w:val="28"/>
        </w:rPr>
      </w:pPr>
    </w:p>
    <w:p w14:paraId="00F2591B">
      <w:pPr>
        <w:pStyle w:val="23"/>
        <w:jc w:val="center"/>
        <w:outlineLvl w:val="1"/>
        <w:rPr>
          <w:rFonts w:hint="default" w:ascii="Times New Roman" w:hAnsi="Times New Roman" w:eastAsia="仿宋_GB2312" w:cs="Times New Roman"/>
          <w:b/>
          <w:sz w:val="28"/>
          <w:szCs w:val="28"/>
        </w:rPr>
      </w:pPr>
    </w:p>
    <w:p w14:paraId="54FA8241">
      <w:pPr>
        <w:pStyle w:val="23"/>
        <w:jc w:val="center"/>
        <w:outlineLvl w:val="1"/>
        <w:rPr>
          <w:rFonts w:hint="default" w:ascii="Times New Roman" w:hAnsi="Times New Roman" w:eastAsia="仿宋_GB2312" w:cs="Times New Roman"/>
          <w:b/>
          <w:sz w:val="28"/>
          <w:szCs w:val="28"/>
        </w:rPr>
      </w:pPr>
    </w:p>
    <w:p w14:paraId="75F7CA48">
      <w:pPr>
        <w:pStyle w:val="23"/>
        <w:jc w:val="center"/>
        <w:outlineLvl w:val="1"/>
        <w:rPr>
          <w:rFonts w:hint="default" w:ascii="Times New Roman" w:hAnsi="Times New Roman" w:eastAsia="仿宋_GB2312" w:cs="Times New Roman"/>
          <w:b/>
          <w:sz w:val="28"/>
          <w:szCs w:val="28"/>
        </w:rPr>
      </w:pPr>
    </w:p>
    <w:p w14:paraId="43BC3103">
      <w:pPr>
        <w:pStyle w:val="23"/>
        <w:jc w:val="center"/>
        <w:outlineLvl w:val="1"/>
        <w:rPr>
          <w:rFonts w:hint="default" w:ascii="Times New Roman" w:hAnsi="Times New Roman" w:eastAsia="仿宋_GB2312" w:cs="Times New Roman"/>
          <w:b/>
          <w:sz w:val="28"/>
          <w:szCs w:val="28"/>
        </w:rPr>
      </w:pPr>
    </w:p>
    <w:p w14:paraId="1495A6A7">
      <w:pPr>
        <w:pStyle w:val="23"/>
        <w:jc w:val="center"/>
        <w:outlineLvl w:val="1"/>
        <w:rPr>
          <w:rFonts w:hint="default" w:ascii="Times New Roman" w:hAnsi="Times New Roman" w:eastAsia="仿宋_GB2312" w:cs="Times New Roman"/>
          <w:b/>
          <w:sz w:val="28"/>
          <w:szCs w:val="28"/>
        </w:rPr>
      </w:pPr>
    </w:p>
    <w:p w14:paraId="7095BF44">
      <w:pPr>
        <w:pStyle w:val="23"/>
        <w:jc w:val="center"/>
        <w:outlineLvl w:val="1"/>
        <w:rPr>
          <w:rFonts w:hint="default" w:ascii="Times New Roman" w:hAnsi="Times New Roman" w:eastAsia="仿宋_GB2312" w:cs="Times New Roman"/>
          <w:b/>
          <w:sz w:val="28"/>
          <w:szCs w:val="28"/>
        </w:rPr>
      </w:pPr>
    </w:p>
    <w:p w14:paraId="71B99287">
      <w:pPr>
        <w:pStyle w:val="23"/>
        <w:jc w:val="center"/>
        <w:outlineLvl w:val="1"/>
        <w:rPr>
          <w:rFonts w:hint="default" w:ascii="Times New Roman" w:hAnsi="Times New Roman" w:eastAsia="仿宋_GB2312" w:cs="Times New Roman"/>
          <w:b/>
          <w:sz w:val="28"/>
          <w:szCs w:val="28"/>
        </w:rPr>
      </w:pPr>
    </w:p>
    <w:p w14:paraId="1C07A96B">
      <w:pPr>
        <w:pStyle w:val="23"/>
        <w:jc w:val="center"/>
        <w:outlineLvl w:val="1"/>
        <w:rPr>
          <w:rFonts w:hint="default" w:ascii="Times New Roman" w:hAnsi="Times New Roman" w:eastAsia="仿宋_GB2312" w:cs="Times New Roman"/>
          <w:b/>
          <w:sz w:val="28"/>
          <w:szCs w:val="28"/>
        </w:rPr>
      </w:pPr>
    </w:p>
    <w:p w14:paraId="758A629B">
      <w:pPr>
        <w:pStyle w:val="23"/>
        <w:jc w:val="center"/>
        <w:outlineLvl w:val="1"/>
        <w:rPr>
          <w:rFonts w:hint="default" w:ascii="Times New Roman" w:hAnsi="Times New Roman" w:eastAsia="仿宋_GB2312" w:cs="Times New Roman"/>
          <w:b/>
          <w:sz w:val="28"/>
          <w:szCs w:val="28"/>
        </w:rPr>
      </w:pPr>
    </w:p>
    <w:p w14:paraId="25C3FAF0">
      <w:pPr>
        <w:pStyle w:val="23"/>
        <w:jc w:val="center"/>
        <w:outlineLvl w:val="1"/>
        <w:rPr>
          <w:rFonts w:hint="default" w:ascii="Times New Roman" w:hAnsi="Times New Roman" w:eastAsia="仿宋_GB2312" w:cs="Times New Roman"/>
          <w:b/>
          <w:sz w:val="28"/>
          <w:szCs w:val="28"/>
        </w:rPr>
      </w:pPr>
    </w:p>
    <w:p w14:paraId="601D41B1">
      <w:pPr>
        <w:pStyle w:val="23"/>
        <w:jc w:val="center"/>
        <w:outlineLvl w:val="1"/>
        <w:rPr>
          <w:rFonts w:hint="default" w:ascii="Times New Roman" w:hAnsi="Times New Roman" w:eastAsia="仿宋_GB2312" w:cs="Times New Roman"/>
          <w:b/>
          <w:sz w:val="28"/>
          <w:szCs w:val="28"/>
        </w:rPr>
      </w:pPr>
    </w:p>
    <w:p w14:paraId="54D43EB2">
      <w:pPr>
        <w:pStyle w:val="23"/>
        <w:jc w:val="center"/>
        <w:outlineLvl w:val="1"/>
        <w:rPr>
          <w:rFonts w:hint="default" w:ascii="Times New Roman" w:hAnsi="Times New Roman" w:eastAsia="仿宋_GB2312" w:cs="Times New Roman"/>
          <w:b/>
          <w:sz w:val="28"/>
          <w:szCs w:val="28"/>
        </w:rPr>
      </w:pPr>
    </w:p>
    <w:p w14:paraId="20D91BC8">
      <w:pPr>
        <w:pStyle w:val="24"/>
        <w:tabs>
          <w:tab w:val="left" w:pos="2268"/>
        </w:tabs>
        <w:spacing w:line="572" w:lineRule="exact"/>
        <w:ind w:left="0"/>
        <w:jc w:val="center"/>
        <w:rPr>
          <w:rFonts w:hint="eastAsia" w:ascii="宋体" w:hAnsi="宋体" w:eastAsia="宋体" w:cs="宋体"/>
          <w:color w:val="auto"/>
          <w:highlight w:val="none"/>
          <w:lang w:eastAsia="zh-CN"/>
        </w:rPr>
      </w:pPr>
      <w:bookmarkStart w:id="70" w:name="_Toc12044"/>
      <w:r>
        <w:rPr>
          <w:rFonts w:hint="eastAsia" w:ascii="宋体" w:hAnsi="宋体" w:eastAsia="宋体" w:cs="宋体"/>
          <w:color w:val="auto"/>
          <w:highlight w:val="none"/>
          <w:lang w:eastAsia="zh-CN"/>
        </w:rPr>
        <w:t>第</w:t>
      </w: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eastAsia="zh-CN"/>
        </w:rPr>
        <w:t>章  投标文件格式</w:t>
      </w:r>
      <w:bookmarkEnd w:id="70"/>
    </w:p>
    <w:p w14:paraId="33BC0A1F">
      <w:pPr>
        <w:pStyle w:val="23"/>
        <w:jc w:val="center"/>
        <w:outlineLvl w:val="1"/>
        <w:rPr>
          <w:rFonts w:hint="default" w:ascii="Times New Roman" w:hAnsi="Times New Roman" w:eastAsia="仿宋_GB2312" w:cs="Times New Roman"/>
          <w:b/>
          <w:sz w:val="28"/>
          <w:szCs w:val="28"/>
        </w:rPr>
      </w:pPr>
    </w:p>
    <w:p w14:paraId="57577AFC">
      <w:pPr>
        <w:pStyle w:val="23"/>
        <w:jc w:val="center"/>
        <w:outlineLvl w:val="1"/>
        <w:rPr>
          <w:rFonts w:hint="default" w:ascii="Times New Roman" w:hAnsi="Times New Roman" w:eastAsia="仿宋_GB2312" w:cs="Times New Roman"/>
          <w:b/>
          <w:sz w:val="28"/>
          <w:szCs w:val="28"/>
        </w:rPr>
      </w:pPr>
    </w:p>
    <w:p w14:paraId="293C4C31">
      <w:pPr>
        <w:pStyle w:val="23"/>
        <w:jc w:val="center"/>
        <w:outlineLvl w:val="1"/>
        <w:rPr>
          <w:rFonts w:hint="default" w:ascii="Times New Roman" w:hAnsi="Times New Roman" w:eastAsia="仿宋_GB2312" w:cs="Times New Roman"/>
          <w:b/>
          <w:sz w:val="28"/>
          <w:szCs w:val="28"/>
        </w:rPr>
      </w:pPr>
    </w:p>
    <w:p w14:paraId="4732B3BC">
      <w:pPr>
        <w:pStyle w:val="23"/>
        <w:jc w:val="center"/>
        <w:outlineLvl w:val="1"/>
        <w:rPr>
          <w:rFonts w:hint="default" w:ascii="Times New Roman" w:hAnsi="Times New Roman" w:eastAsia="仿宋_GB2312" w:cs="Times New Roman"/>
          <w:b/>
          <w:sz w:val="28"/>
          <w:szCs w:val="28"/>
        </w:rPr>
      </w:pPr>
    </w:p>
    <w:p w14:paraId="06FCFB68">
      <w:pPr>
        <w:pStyle w:val="23"/>
        <w:jc w:val="center"/>
        <w:outlineLvl w:val="1"/>
        <w:rPr>
          <w:rFonts w:hint="default" w:ascii="Times New Roman" w:hAnsi="Times New Roman" w:eastAsia="仿宋_GB2312" w:cs="Times New Roman"/>
          <w:b/>
          <w:sz w:val="28"/>
          <w:szCs w:val="28"/>
        </w:rPr>
      </w:pPr>
    </w:p>
    <w:p w14:paraId="74852091">
      <w:pPr>
        <w:pStyle w:val="23"/>
        <w:jc w:val="center"/>
        <w:outlineLvl w:val="1"/>
        <w:rPr>
          <w:rFonts w:hint="default" w:ascii="Times New Roman" w:hAnsi="Times New Roman" w:eastAsia="仿宋_GB2312" w:cs="Times New Roman"/>
          <w:b/>
          <w:sz w:val="28"/>
          <w:szCs w:val="28"/>
        </w:rPr>
      </w:pPr>
    </w:p>
    <w:p w14:paraId="46FD9A84">
      <w:pPr>
        <w:pStyle w:val="23"/>
        <w:jc w:val="center"/>
        <w:outlineLvl w:val="1"/>
        <w:rPr>
          <w:rFonts w:hint="default" w:ascii="Times New Roman" w:hAnsi="Times New Roman" w:eastAsia="仿宋_GB2312" w:cs="Times New Roman"/>
          <w:b/>
          <w:sz w:val="28"/>
          <w:szCs w:val="28"/>
        </w:rPr>
      </w:pPr>
    </w:p>
    <w:p w14:paraId="5DA66AE3">
      <w:pPr>
        <w:pStyle w:val="23"/>
        <w:jc w:val="center"/>
        <w:outlineLvl w:val="1"/>
        <w:rPr>
          <w:rFonts w:hint="default" w:ascii="Times New Roman" w:hAnsi="Times New Roman" w:eastAsia="仿宋_GB2312" w:cs="Times New Roman"/>
          <w:b/>
          <w:sz w:val="28"/>
          <w:szCs w:val="28"/>
        </w:rPr>
      </w:pPr>
    </w:p>
    <w:p w14:paraId="619E1554">
      <w:pPr>
        <w:pStyle w:val="23"/>
        <w:jc w:val="center"/>
        <w:outlineLvl w:val="1"/>
        <w:rPr>
          <w:rFonts w:hint="default" w:ascii="Times New Roman" w:hAnsi="Times New Roman" w:eastAsia="仿宋_GB2312" w:cs="Times New Roman"/>
          <w:b/>
          <w:sz w:val="28"/>
          <w:szCs w:val="28"/>
        </w:rPr>
      </w:pPr>
    </w:p>
    <w:p w14:paraId="18BA4B5E">
      <w:pPr>
        <w:pStyle w:val="23"/>
        <w:jc w:val="center"/>
        <w:outlineLvl w:val="1"/>
        <w:rPr>
          <w:rFonts w:hint="default" w:ascii="Times New Roman" w:hAnsi="Times New Roman" w:eastAsia="仿宋_GB2312" w:cs="Times New Roman"/>
          <w:b/>
          <w:sz w:val="28"/>
          <w:szCs w:val="28"/>
        </w:rPr>
      </w:pPr>
    </w:p>
    <w:p w14:paraId="175DBAE6">
      <w:pPr>
        <w:pStyle w:val="23"/>
        <w:jc w:val="center"/>
        <w:outlineLvl w:val="1"/>
        <w:rPr>
          <w:rFonts w:hint="default" w:ascii="Times New Roman" w:hAnsi="Times New Roman" w:eastAsia="仿宋_GB2312" w:cs="Times New Roman"/>
          <w:b/>
          <w:sz w:val="28"/>
          <w:szCs w:val="28"/>
        </w:rPr>
      </w:pPr>
    </w:p>
    <w:p w14:paraId="18C1D64F">
      <w:pPr>
        <w:pStyle w:val="23"/>
        <w:jc w:val="center"/>
        <w:outlineLvl w:val="1"/>
        <w:rPr>
          <w:rFonts w:hint="default" w:ascii="Times New Roman" w:hAnsi="Times New Roman" w:eastAsia="仿宋_GB2312" w:cs="Times New Roman"/>
          <w:b/>
          <w:sz w:val="28"/>
          <w:szCs w:val="28"/>
        </w:rPr>
      </w:pPr>
    </w:p>
    <w:p w14:paraId="04CCF6BA">
      <w:pPr>
        <w:pStyle w:val="23"/>
        <w:jc w:val="center"/>
        <w:outlineLvl w:val="1"/>
        <w:rPr>
          <w:rFonts w:hint="default" w:ascii="Times New Roman" w:hAnsi="Times New Roman" w:eastAsia="仿宋_GB2312" w:cs="Times New Roman"/>
          <w:b/>
          <w:sz w:val="28"/>
          <w:szCs w:val="28"/>
        </w:rPr>
      </w:pPr>
    </w:p>
    <w:p w14:paraId="6B000A39">
      <w:pPr>
        <w:pStyle w:val="23"/>
        <w:jc w:val="center"/>
        <w:outlineLvl w:val="1"/>
        <w:rPr>
          <w:rFonts w:hint="default" w:ascii="Times New Roman" w:hAnsi="Times New Roman" w:eastAsia="仿宋_GB2312" w:cs="Times New Roman"/>
          <w:b/>
          <w:sz w:val="28"/>
          <w:szCs w:val="28"/>
        </w:rPr>
      </w:pPr>
    </w:p>
    <w:p w14:paraId="729A17D5">
      <w:pPr>
        <w:pStyle w:val="23"/>
        <w:jc w:val="center"/>
        <w:outlineLvl w:val="1"/>
        <w:rPr>
          <w:rFonts w:hint="default" w:ascii="Times New Roman" w:hAnsi="Times New Roman" w:eastAsia="仿宋_GB2312" w:cs="Times New Roman"/>
          <w:b/>
          <w:sz w:val="28"/>
          <w:szCs w:val="28"/>
        </w:rPr>
      </w:pPr>
    </w:p>
    <w:p w14:paraId="0665BA7A">
      <w:pPr>
        <w:pStyle w:val="23"/>
        <w:jc w:val="center"/>
        <w:outlineLvl w:val="1"/>
        <w:rPr>
          <w:rFonts w:hint="default" w:ascii="Times New Roman" w:hAnsi="Times New Roman" w:eastAsia="仿宋_GB2312" w:cs="Times New Roman"/>
          <w:b/>
          <w:sz w:val="28"/>
          <w:szCs w:val="28"/>
        </w:rPr>
      </w:pPr>
    </w:p>
    <w:p w14:paraId="2DE89D8A">
      <w:pPr>
        <w:pStyle w:val="23"/>
        <w:jc w:val="center"/>
        <w:outlineLvl w:val="1"/>
        <w:rPr>
          <w:rFonts w:hint="default" w:ascii="Times New Roman" w:hAnsi="Times New Roman" w:eastAsia="仿宋_GB2312" w:cs="Times New Roman"/>
          <w:b/>
          <w:sz w:val="28"/>
          <w:szCs w:val="28"/>
        </w:rPr>
      </w:pPr>
    </w:p>
    <w:p w14:paraId="7A8B21BA">
      <w:pPr>
        <w:pStyle w:val="23"/>
        <w:jc w:val="center"/>
        <w:outlineLvl w:val="1"/>
        <w:rPr>
          <w:rFonts w:hint="default" w:ascii="Times New Roman" w:hAnsi="Times New Roman" w:eastAsia="仿宋_GB2312" w:cs="Times New Roman"/>
          <w:b/>
          <w:sz w:val="28"/>
          <w:szCs w:val="28"/>
        </w:rPr>
      </w:pPr>
    </w:p>
    <w:p w14:paraId="2BCDD857">
      <w:pPr>
        <w:pStyle w:val="23"/>
        <w:jc w:val="center"/>
        <w:outlineLvl w:val="1"/>
        <w:rPr>
          <w:rFonts w:hint="default" w:ascii="Times New Roman" w:hAnsi="Times New Roman" w:eastAsia="仿宋_GB2312" w:cs="Times New Roman"/>
          <w:b/>
          <w:sz w:val="28"/>
          <w:szCs w:val="28"/>
        </w:rPr>
      </w:pPr>
    </w:p>
    <w:p w14:paraId="46C6183B">
      <w:pPr>
        <w:pStyle w:val="23"/>
        <w:jc w:val="center"/>
        <w:outlineLvl w:val="1"/>
        <w:rPr>
          <w:rFonts w:hint="default" w:ascii="Times New Roman" w:hAnsi="Times New Roman" w:eastAsia="仿宋_GB2312" w:cs="Times New Roman"/>
          <w:b/>
          <w:sz w:val="28"/>
          <w:szCs w:val="28"/>
        </w:rPr>
      </w:pPr>
    </w:p>
    <w:p w14:paraId="36E0FB52">
      <w:pPr>
        <w:pStyle w:val="23"/>
        <w:jc w:val="center"/>
        <w:outlineLvl w:val="1"/>
        <w:rPr>
          <w:rFonts w:hint="default" w:ascii="Times New Roman" w:hAnsi="Times New Roman" w:eastAsia="仿宋_GB2312" w:cs="Times New Roman"/>
          <w:b/>
          <w:sz w:val="28"/>
          <w:szCs w:val="28"/>
        </w:rPr>
      </w:pPr>
    </w:p>
    <w:p w14:paraId="5A8DE40E">
      <w:pPr>
        <w:pStyle w:val="23"/>
        <w:jc w:val="center"/>
        <w:outlineLvl w:val="1"/>
        <w:rPr>
          <w:rFonts w:hint="default" w:ascii="Times New Roman" w:hAnsi="Times New Roman" w:eastAsia="仿宋_GB2312" w:cs="Times New Roman"/>
          <w:b/>
          <w:sz w:val="28"/>
          <w:szCs w:val="28"/>
        </w:rPr>
      </w:pPr>
    </w:p>
    <w:p w14:paraId="4C6220F0">
      <w:pPr>
        <w:pStyle w:val="23"/>
        <w:jc w:val="center"/>
        <w:outlineLvl w:val="1"/>
        <w:rPr>
          <w:rFonts w:hint="default" w:ascii="Times New Roman" w:hAnsi="Times New Roman" w:eastAsia="仿宋_GB2312" w:cs="Times New Roman"/>
          <w:b/>
          <w:sz w:val="28"/>
          <w:szCs w:val="28"/>
        </w:rPr>
      </w:pPr>
    </w:p>
    <w:p w14:paraId="2F403973">
      <w:pPr>
        <w:pStyle w:val="23"/>
        <w:jc w:val="center"/>
        <w:outlineLvl w:val="1"/>
        <w:rPr>
          <w:rFonts w:hint="default" w:ascii="Times New Roman" w:hAnsi="Times New Roman" w:eastAsia="仿宋_GB2312" w:cs="Times New Roman"/>
          <w:b/>
          <w:sz w:val="28"/>
          <w:szCs w:val="28"/>
        </w:rPr>
      </w:pPr>
    </w:p>
    <w:p w14:paraId="38E106F7">
      <w:pPr>
        <w:pStyle w:val="23"/>
        <w:jc w:val="center"/>
        <w:outlineLvl w:val="1"/>
        <w:rPr>
          <w:rFonts w:hint="default" w:ascii="Times New Roman" w:hAnsi="Times New Roman" w:eastAsia="仿宋_GB2312" w:cs="Times New Roman"/>
          <w:b/>
          <w:sz w:val="28"/>
          <w:szCs w:val="28"/>
        </w:rPr>
      </w:pPr>
    </w:p>
    <w:p w14:paraId="00EA3FF8">
      <w:pPr>
        <w:pStyle w:val="23"/>
        <w:jc w:val="center"/>
        <w:outlineLvl w:val="1"/>
        <w:rPr>
          <w:rFonts w:hint="default" w:ascii="Times New Roman" w:hAnsi="Times New Roman" w:eastAsia="仿宋_GB2312" w:cs="Times New Roman"/>
          <w:b/>
          <w:sz w:val="28"/>
          <w:szCs w:val="28"/>
        </w:rPr>
      </w:pPr>
    </w:p>
    <w:p w14:paraId="48AB5447">
      <w:pPr>
        <w:pStyle w:val="23"/>
        <w:jc w:val="center"/>
        <w:outlineLvl w:val="1"/>
        <w:rPr>
          <w:rFonts w:hint="default" w:ascii="Times New Roman" w:hAnsi="Times New Roman" w:eastAsia="仿宋_GB2312" w:cs="Times New Roman"/>
          <w:b/>
          <w:sz w:val="28"/>
          <w:szCs w:val="28"/>
        </w:rPr>
      </w:pPr>
    </w:p>
    <w:p w14:paraId="4E4F3EB8">
      <w:pPr>
        <w:pStyle w:val="23"/>
        <w:jc w:val="center"/>
        <w:outlineLvl w:val="1"/>
        <w:rPr>
          <w:rFonts w:hint="default" w:ascii="Times New Roman" w:hAnsi="Times New Roman" w:eastAsia="仿宋_GB2312" w:cs="Times New Roman"/>
          <w:b/>
          <w:sz w:val="28"/>
          <w:szCs w:val="28"/>
        </w:rPr>
      </w:pPr>
    </w:p>
    <w:p w14:paraId="5FED6515">
      <w:pPr>
        <w:pStyle w:val="23"/>
        <w:jc w:val="center"/>
        <w:outlineLvl w:val="1"/>
        <w:rPr>
          <w:rFonts w:hint="default" w:ascii="Times New Roman" w:hAnsi="Times New Roman" w:eastAsia="仿宋_GB2312" w:cs="Times New Roman"/>
          <w:b/>
          <w:sz w:val="28"/>
          <w:szCs w:val="28"/>
        </w:rPr>
      </w:pPr>
    </w:p>
    <w:p w14:paraId="6E3303C5">
      <w:pPr>
        <w:pStyle w:val="23"/>
        <w:jc w:val="center"/>
        <w:outlineLvl w:val="1"/>
        <w:rPr>
          <w:rFonts w:hint="default" w:ascii="Times New Roman" w:hAnsi="Times New Roman" w:eastAsia="仿宋_GB2312" w:cs="Times New Roman"/>
          <w:b/>
          <w:sz w:val="28"/>
          <w:szCs w:val="28"/>
        </w:rPr>
      </w:pPr>
    </w:p>
    <w:p w14:paraId="5CCAF439">
      <w:pPr>
        <w:pStyle w:val="23"/>
        <w:jc w:val="center"/>
        <w:outlineLvl w:val="1"/>
        <w:rPr>
          <w:rFonts w:hint="default" w:ascii="Times New Roman" w:hAnsi="Times New Roman" w:eastAsia="仿宋_GB2312" w:cs="Times New Roman"/>
          <w:b/>
          <w:sz w:val="28"/>
          <w:szCs w:val="28"/>
        </w:rPr>
      </w:pPr>
    </w:p>
    <w:p w14:paraId="3AEFBE82">
      <w:pPr>
        <w:pStyle w:val="23"/>
        <w:jc w:val="center"/>
        <w:outlineLvl w:val="1"/>
        <w:rPr>
          <w:rFonts w:hint="default" w:ascii="Times New Roman" w:hAnsi="Times New Roman" w:eastAsia="仿宋_GB2312" w:cs="Times New Roman"/>
          <w:b/>
          <w:sz w:val="28"/>
          <w:szCs w:val="28"/>
        </w:rPr>
      </w:pPr>
    </w:p>
    <w:p w14:paraId="4B238E9C">
      <w:pPr>
        <w:pStyle w:val="23"/>
        <w:jc w:val="center"/>
        <w:outlineLvl w:val="1"/>
        <w:rPr>
          <w:rFonts w:hint="default" w:ascii="Times New Roman" w:hAnsi="Times New Roman" w:eastAsia="仿宋_GB2312" w:cs="Times New Roman"/>
          <w:b/>
          <w:sz w:val="28"/>
          <w:szCs w:val="28"/>
        </w:rPr>
      </w:pPr>
    </w:p>
    <w:p w14:paraId="272E68ED">
      <w:pPr>
        <w:pStyle w:val="23"/>
        <w:jc w:val="center"/>
        <w:outlineLvl w:val="1"/>
        <w:rPr>
          <w:rFonts w:hint="default" w:ascii="Times New Roman" w:hAnsi="Times New Roman" w:eastAsia="仿宋_GB2312" w:cs="Times New Roman"/>
          <w:b/>
          <w:sz w:val="28"/>
          <w:szCs w:val="28"/>
        </w:rPr>
      </w:pPr>
    </w:p>
    <w:p w14:paraId="05D015D4">
      <w:pPr>
        <w:pStyle w:val="23"/>
        <w:jc w:val="both"/>
        <w:outlineLvl w:val="1"/>
        <w:rPr>
          <w:rFonts w:hint="default" w:ascii="Times New Roman" w:hAnsi="Times New Roman" w:eastAsia="仿宋_GB2312" w:cs="Times New Roman"/>
          <w:b/>
          <w:sz w:val="28"/>
          <w:szCs w:val="28"/>
        </w:rPr>
      </w:pPr>
    </w:p>
    <w:p w14:paraId="623E403D">
      <w:pPr>
        <w:spacing w:line="540" w:lineRule="exact"/>
        <w:ind w:left="3191"/>
        <w:rPr>
          <w:rFonts w:hint="eastAsia" w:ascii="宋体" w:hAnsi="宋体" w:eastAsia="宋体" w:cs="宋体"/>
          <w:color w:val="auto"/>
          <w:sz w:val="44"/>
          <w:highlight w:val="none"/>
          <w:lang w:eastAsia="zh-CN"/>
        </w:rPr>
      </w:pPr>
    </w:p>
    <w:p w14:paraId="34EB8FCE">
      <w:pPr>
        <w:spacing w:line="360" w:lineRule="auto"/>
        <w:ind w:left="-142"/>
        <w:jc w:val="center"/>
        <w:rPr>
          <w:rFonts w:hint="eastAsia" w:ascii="宋体" w:hAnsi="宋体" w:eastAsia="宋体" w:cs="宋体"/>
          <w:b/>
          <w:color w:val="auto"/>
          <w:sz w:val="104"/>
          <w:szCs w:val="104"/>
          <w:highlight w:val="none"/>
          <w:lang w:eastAsia="zh-CN"/>
        </w:rPr>
      </w:pPr>
      <w:r>
        <w:rPr>
          <w:rFonts w:hint="eastAsia" w:ascii="宋体" w:hAnsi="宋体" w:eastAsia="宋体" w:cs="宋体"/>
          <w:b/>
          <w:color w:val="auto"/>
          <w:sz w:val="104"/>
          <w:szCs w:val="104"/>
          <w:highlight w:val="none"/>
          <w:lang w:eastAsia="zh-CN"/>
        </w:rPr>
        <w:t>投 标 文 件</w:t>
      </w:r>
    </w:p>
    <w:p w14:paraId="53CA27AC">
      <w:pPr>
        <w:pStyle w:val="2"/>
        <w:rPr>
          <w:rFonts w:hint="eastAsia" w:ascii="宋体" w:hAnsi="宋体" w:eastAsia="宋体" w:cs="宋体"/>
          <w:b/>
          <w:color w:val="auto"/>
          <w:sz w:val="104"/>
          <w:szCs w:val="104"/>
          <w:highlight w:val="none"/>
          <w:lang w:eastAsia="zh-CN"/>
        </w:rPr>
      </w:pPr>
    </w:p>
    <w:p w14:paraId="164738AE">
      <w:pPr>
        <w:pStyle w:val="2"/>
        <w:rPr>
          <w:rFonts w:hint="eastAsia" w:ascii="宋体" w:hAnsi="宋体" w:eastAsia="宋体" w:cs="宋体"/>
          <w:b/>
          <w:color w:val="auto"/>
          <w:sz w:val="104"/>
          <w:szCs w:val="104"/>
          <w:highlight w:val="none"/>
          <w:lang w:eastAsia="zh-CN"/>
        </w:rPr>
      </w:pPr>
    </w:p>
    <w:p w14:paraId="6BC1C934">
      <w:pPr>
        <w:pStyle w:val="2"/>
        <w:rPr>
          <w:rFonts w:hint="eastAsia" w:ascii="宋体" w:hAnsi="宋体" w:eastAsia="宋体" w:cs="宋体"/>
          <w:b/>
          <w:color w:val="auto"/>
          <w:sz w:val="104"/>
          <w:szCs w:val="104"/>
          <w:highlight w:val="none"/>
          <w:lang w:eastAsia="zh-CN"/>
        </w:rPr>
      </w:pPr>
    </w:p>
    <w:p w14:paraId="71AC0467">
      <w:pPr>
        <w:pStyle w:val="2"/>
        <w:rPr>
          <w:rFonts w:hint="eastAsia" w:ascii="宋体" w:hAnsi="宋体" w:eastAsia="宋体" w:cs="宋体"/>
          <w:b/>
          <w:color w:val="auto"/>
          <w:sz w:val="104"/>
          <w:szCs w:val="104"/>
          <w:highlight w:val="none"/>
          <w:lang w:eastAsia="zh-CN"/>
        </w:rPr>
      </w:pPr>
    </w:p>
    <w:p w14:paraId="719FD236">
      <w:pPr>
        <w:pStyle w:val="2"/>
        <w:rPr>
          <w:rFonts w:hint="eastAsia" w:ascii="宋体" w:hAnsi="宋体" w:eastAsia="宋体" w:cs="宋体"/>
          <w:b/>
          <w:color w:val="auto"/>
          <w:sz w:val="104"/>
          <w:szCs w:val="104"/>
          <w:highlight w:val="none"/>
          <w:lang w:eastAsia="zh-CN"/>
        </w:rPr>
      </w:pPr>
    </w:p>
    <w:p w14:paraId="48857E9C">
      <w:pPr>
        <w:pStyle w:val="2"/>
        <w:rPr>
          <w:rFonts w:hint="eastAsia" w:ascii="宋体" w:hAnsi="宋体" w:eastAsia="宋体" w:cs="宋体"/>
          <w:b/>
          <w:color w:val="auto"/>
          <w:sz w:val="104"/>
          <w:szCs w:val="104"/>
          <w:highlight w:val="none"/>
          <w:lang w:eastAsia="zh-CN"/>
        </w:rPr>
      </w:pPr>
    </w:p>
    <w:p w14:paraId="49B4298E">
      <w:pPr>
        <w:bidi w:val="0"/>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项目名称：</w:t>
      </w:r>
    </w:p>
    <w:p w14:paraId="075B2D5E">
      <w:pPr>
        <w:pStyle w:val="2"/>
        <w:rPr>
          <w:rFonts w:hint="default"/>
          <w:lang w:val="en-US" w:eastAsia="zh-CN"/>
        </w:rPr>
      </w:pPr>
    </w:p>
    <w:p w14:paraId="653EF6B8">
      <w:pPr>
        <w:bidi w:val="0"/>
        <w:jc w:val="both"/>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项目编号：</w:t>
      </w:r>
    </w:p>
    <w:p w14:paraId="51E3D98B">
      <w:pPr>
        <w:pStyle w:val="7"/>
        <w:rPr>
          <w:rFonts w:hint="eastAsia" w:ascii="宋体" w:hAnsi="宋体" w:eastAsia="宋体" w:cs="宋体"/>
          <w:b/>
          <w:color w:val="auto"/>
          <w:sz w:val="44"/>
          <w:highlight w:val="none"/>
          <w:lang w:eastAsia="zh-CN"/>
        </w:rPr>
      </w:pPr>
    </w:p>
    <w:p w14:paraId="19B1B6BA">
      <w:pPr>
        <w:rPr>
          <w:rFonts w:hint="eastAsia"/>
          <w:color w:val="auto"/>
          <w:highlight w:val="none"/>
          <w:lang w:eastAsia="zh-CN"/>
        </w:rPr>
      </w:pPr>
    </w:p>
    <w:p w14:paraId="0A009264">
      <w:pPr>
        <w:pStyle w:val="7"/>
        <w:rPr>
          <w:rFonts w:hint="eastAsia" w:ascii="宋体" w:hAnsi="宋体" w:eastAsia="宋体" w:cs="宋体"/>
          <w:b/>
          <w:color w:val="auto"/>
          <w:sz w:val="41"/>
          <w:highlight w:val="none"/>
          <w:lang w:eastAsia="zh-CN"/>
        </w:rPr>
      </w:pPr>
    </w:p>
    <w:p w14:paraId="05973C59">
      <w:pPr>
        <w:tabs>
          <w:tab w:val="left" w:pos="6942"/>
          <w:tab w:val="left" w:pos="7535"/>
        </w:tabs>
        <w:spacing w:line="480" w:lineRule="auto"/>
        <w:ind w:right="141"/>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投标人：</w:t>
      </w:r>
      <w:r>
        <w:rPr>
          <w:rFonts w:hint="eastAsia" w:ascii="宋体" w:hAnsi="宋体" w:eastAsia="宋体" w:cs="宋体"/>
          <w:b/>
          <w:color w:val="auto"/>
          <w:sz w:val="28"/>
          <w:highlight w:val="none"/>
          <w:u w:val="single"/>
          <w:lang w:eastAsia="zh-CN"/>
        </w:rPr>
        <w:t xml:space="preserve"> </w:t>
      </w:r>
      <w:r>
        <w:rPr>
          <w:rFonts w:hint="eastAsia" w:ascii="宋体" w:hAnsi="宋体" w:eastAsia="宋体" w:cs="宋体"/>
          <w:b/>
          <w:color w:val="auto"/>
          <w:sz w:val="28"/>
          <w:highlight w:val="none"/>
          <w:u w:val="single"/>
          <w:lang w:eastAsia="zh-CN"/>
        </w:rPr>
        <w:tab/>
      </w:r>
      <w:r>
        <w:rPr>
          <w:rFonts w:hint="eastAsia" w:ascii="宋体" w:hAnsi="宋体" w:eastAsia="宋体" w:cs="宋体"/>
          <w:b/>
          <w:color w:val="auto"/>
          <w:sz w:val="28"/>
          <w:highlight w:val="none"/>
          <w:lang w:eastAsia="zh-CN"/>
        </w:rPr>
        <w:t>（</w:t>
      </w:r>
      <w:r>
        <w:rPr>
          <w:rFonts w:hint="eastAsia" w:ascii="宋体" w:hAnsi="宋体" w:eastAsia="宋体" w:cs="宋体"/>
          <w:b/>
          <w:color w:val="auto"/>
          <w:spacing w:val="-3"/>
          <w:sz w:val="28"/>
          <w:highlight w:val="none"/>
          <w:lang w:val="en-US" w:eastAsia="zh-CN"/>
        </w:rPr>
        <w:t>盖章</w:t>
      </w:r>
      <w:r>
        <w:rPr>
          <w:rFonts w:hint="eastAsia" w:ascii="宋体" w:hAnsi="宋体" w:eastAsia="宋体" w:cs="宋体"/>
          <w:b/>
          <w:color w:val="auto"/>
          <w:sz w:val="28"/>
          <w:highlight w:val="none"/>
          <w:lang w:eastAsia="zh-CN"/>
        </w:rPr>
        <w:t xml:space="preserve">） </w:t>
      </w:r>
    </w:p>
    <w:p w14:paraId="0DF66E46">
      <w:pPr>
        <w:tabs>
          <w:tab w:val="left" w:pos="6942"/>
          <w:tab w:val="left" w:pos="7535"/>
        </w:tabs>
        <w:spacing w:line="480" w:lineRule="auto"/>
        <w:ind w:right="141"/>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lang w:eastAsia="zh-CN"/>
        </w:rPr>
        <w:t>法定代</w:t>
      </w:r>
      <w:r>
        <w:rPr>
          <w:rFonts w:hint="eastAsia" w:ascii="宋体" w:hAnsi="宋体" w:eastAsia="宋体" w:cs="宋体"/>
          <w:b/>
          <w:color w:val="auto"/>
          <w:spacing w:val="-3"/>
          <w:sz w:val="28"/>
          <w:highlight w:val="none"/>
          <w:lang w:eastAsia="zh-CN"/>
        </w:rPr>
        <w:t>表</w:t>
      </w:r>
      <w:r>
        <w:rPr>
          <w:rFonts w:hint="eastAsia" w:ascii="宋体" w:hAnsi="宋体" w:eastAsia="宋体" w:cs="宋体"/>
          <w:b/>
          <w:color w:val="auto"/>
          <w:sz w:val="28"/>
          <w:highlight w:val="none"/>
          <w:lang w:eastAsia="zh-CN"/>
        </w:rPr>
        <w:t>人或其</w:t>
      </w:r>
      <w:r>
        <w:rPr>
          <w:rFonts w:hint="eastAsia" w:ascii="宋体" w:hAnsi="宋体" w:eastAsia="宋体" w:cs="宋体"/>
          <w:b/>
          <w:color w:val="auto"/>
          <w:spacing w:val="-3"/>
          <w:sz w:val="28"/>
          <w:highlight w:val="none"/>
          <w:lang w:eastAsia="zh-CN"/>
        </w:rPr>
        <w:t>委托</w:t>
      </w:r>
      <w:r>
        <w:rPr>
          <w:rFonts w:hint="eastAsia" w:ascii="宋体" w:hAnsi="宋体" w:eastAsia="宋体" w:cs="宋体"/>
          <w:b/>
          <w:color w:val="auto"/>
          <w:sz w:val="28"/>
          <w:highlight w:val="none"/>
          <w:lang w:eastAsia="zh-CN"/>
        </w:rPr>
        <w:t>代理人：</w:t>
      </w:r>
      <w:r>
        <w:rPr>
          <w:rFonts w:hint="eastAsia" w:ascii="宋体" w:hAnsi="宋体" w:eastAsia="宋体" w:cs="宋体"/>
          <w:b/>
          <w:color w:val="auto"/>
          <w:sz w:val="28"/>
          <w:highlight w:val="none"/>
          <w:u w:val="single"/>
          <w:lang w:val="en-US" w:eastAsia="zh-CN"/>
        </w:rPr>
        <w:t xml:space="preserve">                       </w:t>
      </w:r>
      <w:r>
        <w:rPr>
          <w:rFonts w:hint="eastAsia" w:ascii="宋体" w:hAnsi="宋体" w:eastAsia="宋体" w:cs="宋体"/>
          <w:b/>
          <w:color w:val="auto"/>
          <w:sz w:val="28"/>
          <w:highlight w:val="none"/>
          <w:lang w:eastAsia="zh-CN"/>
        </w:rPr>
        <w:t>（</w:t>
      </w:r>
      <w:r>
        <w:rPr>
          <w:rFonts w:hint="eastAsia" w:ascii="宋体" w:hAnsi="宋体" w:eastAsia="宋体" w:cs="宋体"/>
          <w:b/>
          <w:color w:val="auto"/>
          <w:spacing w:val="-3"/>
          <w:sz w:val="28"/>
          <w:highlight w:val="none"/>
          <w:lang w:val="en-US" w:eastAsia="zh-CN"/>
        </w:rPr>
        <w:t>签字或盖章</w:t>
      </w:r>
      <w:r>
        <w:rPr>
          <w:rFonts w:hint="eastAsia" w:ascii="宋体" w:hAnsi="宋体" w:eastAsia="宋体" w:cs="宋体"/>
          <w:b/>
          <w:color w:val="auto"/>
          <w:sz w:val="28"/>
          <w:highlight w:val="none"/>
          <w:lang w:eastAsia="zh-CN"/>
        </w:rPr>
        <w:t>）</w:t>
      </w:r>
    </w:p>
    <w:p w14:paraId="50447EFA">
      <w:pPr>
        <w:tabs>
          <w:tab w:val="left" w:pos="3611"/>
          <w:tab w:val="left" w:pos="4626"/>
          <w:tab w:val="left" w:pos="5642"/>
        </w:tabs>
        <w:spacing w:line="480" w:lineRule="auto"/>
        <w:ind w:left="2877"/>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u w:val="single"/>
          <w:lang w:eastAsia="zh-CN"/>
        </w:rPr>
        <w:t xml:space="preserve"> </w:t>
      </w:r>
      <w:r>
        <w:rPr>
          <w:rFonts w:hint="eastAsia" w:ascii="宋体" w:hAnsi="宋体" w:eastAsia="宋体" w:cs="宋体"/>
          <w:b/>
          <w:color w:val="auto"/>
          <w:sz w:val="28"/>
          <w:highlight w:val="none"/>
          <w:u w:val="single"/>
          <w:lang w:eastAsia="zh-CN"/>
        </w:rPr>
        <w:tab/>
      </w:r>
      <w:r>
        <w:rPr>
          <w:rFonts w:hint="eastAsia" w:ascii="宋体" w:hAnsi="宋体" w:eastAsia="宋体" w:cs="宋体"/>
          <w:b/>
          <w:color w:val="auto"/>
          <w:sz w:val="28"/>
          <w:highlight w:val="none"/>
          <w:lang w:eastAsia="zh-CN"/>
        </w:rPr>
        <w:t>年</w:t>
      </w:r>
      <w:r>
        <w:rPr>
          <w:rFonts w:hint="eastAsia" w:ascii="宋体" w:hAnsi="宋体" w:eastAsia="宋体" w:cs="宋体"/>
          <w:b/>
          <w:color w:val="auto"/>
          <w:sz w:val="28"/>
          <w:highlight w:val="none"/>
          <w:u w:val="single"/>
          <w:lang w:eastAsia="zh-CN"/>
        </w:rPr>
        <w:t xml:space="preserve"> </w:t>
      </w:r>
      <w:r>
        <w:rPr>
          <w:rFonts w:hint="eastAsia" w:ascii="宋体" w:hAnsi="宋体" w:eastAsia="宋体" w:cs="宋体"/>
          <w:b/>
          <w:color w:val="auto"/>
          <w:sz w:val="28"/>
          <w:highlight w:val="none"/>
          <w:u w:val="single"/>
          <w:lang w:eastAsia="zh-CN"/>
        </w:rPr>
        <w:tab/>
      </w:r>
      <w:r>
        <w:rPr>
          <w:rFonts w:hint="eastAsia" w:ascii="宋体" w:hAnsi="宋体" w:eastAsia="宋体" w:cs="宋体"/>
          <w:b/>
          <w:color w:val="auto"/>
          <w:sz w:val="28"/>
          <w:highlight w:val="none"/>
          <w:lang w:eastAsia="zh-CN"/>
        </w:rPr>
        <w:t>月</w:t>
      </w:r>
      <w:r>
        <w:rPr>
          <w:rFonts w:hint="eastAsia" w:ascii="宋体" w:hAnsi="宋体" w:eastAsia="宋体" w:cs="宋体"/>
          <w:b/>
          <w:color w:val="auto"/>
          <w:sz w:val="28"/>
          <w:highlight w:val="none"/>
          <w:u w:val="single"/>
          <w:lang w:eastAsia="zh-CN"/>
        </w:rPr>
        <w:t xml:space="preserve"> </w:t>
      </w:r>
      <w:r>
        <w:rPr>
          <w:rFonts w:hint="eastAsia" w:ascii="宋体" w:hAnsi="宋体" w:eastAsia="宋体" w:cs="宋体"/>
          <w:b/>
          <w:color w:val="auto"/>
          <w:sz w:val="28"/>
          <w:highlight w:val="none"/>
          <w:u w:val="single"/>
          <w:lang w:eastAsia="zh-CN"/>
        </w:rPr>
        <w:tab/>
      </w:r>
      <w:r>
        <w:rPr>
          <w:rFonts w:hint="eastAsia" w:ascii="宋体" w:hAnsi="宋体" w:eastAsia="宋体" w:cs="宋体"/>
          <w:b/>
          <w:color w:val="auto"/>
          <w:sz w:val="28"/>
          <w:highlight w:val="none"/>
          <w:lang w:eastAsia="zh-CN"/>
        </w:rPr>
        <w:t>日</w:t>
      </w:r>
    </w:p>
    <w:p w14:paraId="1532C465">
      <w:pPr>
        <w:spacing w:line="480" w:lineRule="auto"/>
        <w:rPr>
          <w:rFonts w:hint="eastAsia" w:ascii="宋体" w:hAnsi="宋体" w:eastAsia="宋体" w:cs="宋体"/>
          <w:color w:val="auto"/>
          <w:sz w:val="28"/>
          <w:highlight w:val="none"/>
          <w:lang w:eastAsia="zh-CN"/>
        </w:rPr>
        <w:sectPr>
          <w:headerReference r:id="rId6" w:type="default"/>
          <w:footerReference r:id="rId7" w:type="default"/>
          <w:pgSz w:w="12240" w:h="15840"/>
          <w:pgMar w:top="1500" w:right="1720" w:bottom="1120" w:left="1720" w:header="0" w:footer="841" w:gutter="0"/>
          <w:cols w:space="720" w:num="1"/>
        </w:sectPr>
      </w:pPr>
    </w:p>
    <w:p w14:paraId="57A24963">
      <w:pPr>
        <w:pStyle w:val="29"/>
        <w:spacing w:line="443" w:lineRule="exact"/>
        <w:ind w:left="0" w:right="388" w:firstLine="0"/>
        <w:jc w:val="center"/>
        <w:rPr>
          <w:rFonts w:hint="eastAsia" w:ascii="宋体" w:hAnsi="宋体" w:eastAsia="宋体" w:cs="宋体"/>
          <w:color w:val="auto"/>
          <w:highlight w:val="none"/>
          <w:lang w:eastAsia="zh-CN"/>
        </w:rPr>
      </w:pPr>
      <w:bookmarkStart w:id="71" w:name="_bookmark155"/>
      <w:bookmarkEnd w:id="71"/>
      <w:bookmarkStart w:id="72" w:name="_Toc533420647"/>
      <w:r>
        <w:rPr>
          <w:rFonts w:hint="eastAsia" w:ascii="宋体" w:hAnsi="宋体" w:eastAsia="宋体" w:cs="宋体"/>
          <w:color w:val="auto"/>
          <w:highlight w:val="none"/>
          <w:lang w:eastAsia="zh-CN"/>
        </w:rPr>
        <w:t>目录</w:t>
      </w:r>
      <w:bookmarkEnd w:id="72"/>
    </w:p>
    <w:p w14:paraId="2754E6AC">
      <w:pPr>
        <w:pStyle w:val="7"/>
        <w:spacing w:line="480" w:lineRule="auto"/>
        <w:ind w:left="100" w:right="5772"/>
        <w:rPr>
          <w:rFonts w:hint="eastAsia" w:ascii="宋体" w:hAnsi="宋体" w:eastAsia="宋体" w:cs="宋体"/>
          <w:color w:val="auto"/>
          <w:highlight w:val="none"/>
          <w:lang w:eastAsia="zh-CN"/>
        </w:rPr>
      </w:pPr>
    </w:p>
    <w:p w14:paraId="3AEF3205">
      <w:pPr>
        <w:spacing w:line="48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（格式自拟）</w:t>
      </w:r>
    </w:p>
    <w:p w14:paraId="6DC62BCA">
      <w:pPr>
        <w:pStyle w:val="5"/>
        <w:rPr>
          <w:rFonts w:hint="eastAsia" w:ascii="宋体" w:hAnsi="宋体" w:eastAsia="宋体" w:cs="宋体"/>
          <w:color w:val="auto"/>
          <w:highlight w:val="none"/>
          <w:lang w:eastAsia="zh-CN"/>
        </w:rPr>
        <w:sectPr>
          <w:pgSz w:w="12240" w:h="15840"/>
          <w:pgMar w:top="1400" w:right="1720" w:bottom="1120" w:left="1700" w:header="0" w:footer="841" w:gutter="0"/>
          <w:cols w:space="720" w:num="1"/>
        </w:sectPr>
      </w:pPr>
    </w:p>
    <w:p w14:paraId="614368F5">
      <w:pPr>
        <w:widowControl/>
        <w:autoSpaceDE/>
        <w:autoSpaceDN/>
        <w:spacing w:line="480" w:lineRule="auto"/>
        <w:jc w:val="center"/>
        <w:outlineLvl w:val="2"/>
        <w:rPr>
          <w:rFonts w:hint="eastAsia" w:ascii="宋体" w:hAnsi="宋体" w:eastAsia="宋体" w:cs="宋体"/>
          <w:b/>
          <w:color w:val="auto"/>
          <w:sz w:val="30"/>
          <w:szCs w:val="30"/>
          <w:highlight w:val="none"/>
          <w:lang w:eastAsia="zh-CN"/>
        </w:rPr>
      </w:pPr>
      <w:bookmarkStart w:id="73" w:name="_bookmark157"/>
      <w:bookmarkEnd w:id="73"/>
      <w:bookmarkStart w:id="74" w:name="_bookmark156"/>
      <w:bookmarkEnd w:id="74"/>
      <w:r>
        <w:rPr>
          <w:rFonts w:hint="eastAsia" w:ascii="宋体" w:hAnsi="宋体" w:eastAsia="宋体" w:cs="宋体"/>
          <w:b/>
          <w:color w:val="auto"/>
          <w:sz w:val="30"/>
          <w:szCs w:val="30"/>
          <w:highlight w:val="none"/>
          <w:lang w:val="en-US" w:eastAsia="zh-CN"/>
        </w:rPr>
        <w:t>一、开标</w:t>
      </w:r>
      <w:r>
        <w:rPr>
          <w:rFonts w:hint="eastAsia" w:ascii="宋体" w:hAnsi="宋体" w:eastAsia="宋体" w:cs="宋体"/>
          <w:b/>
          <w:color w:val="auto"/>
          <w:sz w:val="30"/>
          <w:szCs w:val="30"/>
          <w:highlight w:val="none"/>
          <w:lang w:eastAsia="zh-CN"/>
        </w:rPr>
        <w:t>一览表</w:t>
      </w:r>
    </w:p>
    <w:p w14:paraId="76A97278">
      <w:pPr>
        <w:widowControl/>
        <w:autoSpaceDE/>
        <w:autoSpaceDN/>
        <w:spacing w:line="360" w:lineRule="auto"/>
        <w:ind w:left="-811" w:leftChars="-386" w:right="-813" w:rightChars="-387" w:firstLine="720" w:firstLineChars="30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lang w:eastAsia="zh-CN"/>
        </w:rPr>
        <w:t>项目名称：</w:t>
      </w:r>
    </w:p>
    <w:p w14:paraId="5E9EB170">
      <w:pPr>
        <w:widowControl/>
        <w:autoSpaceDE/>
        <w:autoSpaceDN/>
        <w:spacing w:line="360" w:lineRule="auto"/>
        <w:ind w:left="-811" w:leftChars="-386" w:right="-813" w:rightChars="-387" w:firstLine="720" w:firstLineChars="30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kern w:val="2"/>
          <w:sz w:val="24"/>
          <w:szCs w:val="24"/>
          <w:highlight w:val="none"/>
          <w:lang w:eastAsia="zh-CN"/>
        </w:rPr>
        <w:t xml:space="preserve">项目编号：    </w:t>
      </w:r>
    </w:p>
    <w:tbl>
      <w:tblPr>
        <w:tblStyle w:val="16"/>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5"/>
        <w:gridCol w:w="6744"/>
        <w:gridCol w:w="10"/>
      </w:tblGrid>
      <w:tr w14:paraId="76D4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776" w:hRule="atLeast"/>
          <w:jc w:val="center"/>
        </w:trPr>
        <w:tc>
          <w:tcPr>
            <w:tcW w:w="2125" w:type="dxa"/>
            <w:vAlign w:val="center"/>
          </w:tcPr>
          <w:p w14:paraId="6F329D2F">
            <w:pPr>
              <w:pStyle w:val="7"/>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投标人名称</w:t>
            </w:r>
          </w:p>
        </w:tc>
        <w:tc>
          <w:tcPr>
            <w:tcW w:w="6744" w:type="dxa"/>
            <w:vAlign w:val="center"/>
          </w:tcPr>
          <w:p w14:paraId="2A169909">
            <w:pPr>
              <w:widowControl/>
              <w:autoSpaceDE/>
              <w:autoSpaceDN/>
              <w:jc w:val="center"/>
              <w:rPr>
                <w:rFonts w:hint="eastAsia" w:ascii="宋体" w:hAnsi="宋体" w:eastAsia="宋体" w:cs="宋体"/>
                <w:color w:val="auto"/>
                <w:kern w:val="2"/>
                <w:sz w:val="24"/>
                <w:szCs w:val="24"/>
                <w:highlight w:val="none"/>
                <w:lang w:eastAsia="zh-CN"/>
              </w:rPr>
            </w:pPr>
          </w:p>
        </w:tc>
      </w:tr>
      <w:tr w14:paraId="5A4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1320" w:hRule="atLeast"/>
          <w:jc w:val="center"/>
        </w:trPr>
        <w:tc>
          <w:tcPr>
            <w:tcW w:w="2125" w:type="dxa"/>
            <w:vAlign w:val="center"/>
          </w:tcPr>
          <w:p w14:paraId="5CE1A8B4">
            <w:pPr>
              <w:widowControl/>
              <w:autoSpaceDE/>
              <w:autoSpaceDN/>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投标总报价（</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6744" w:type="dxa"/>
            <w:vAlign w:val="center"/>
          </w:tcPr>
          <w:p w14:paraId="5C5715D8">
            <w:pPr>
              <w:widowControl/>
              <w:autoSpaceDE/>
              <w:autoSpaceDN/>
              <w:spacing w:line="48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大写：</w:t>
            </w:r>
          </w:p>
          <w:p w14:paraId="06998535">
            <w:pPr>
              <w:widowControl/>
              <w:autoSpaceDE/>
              <w:autoSpaceDN/>
              <w:spacing w:line="480" w:lineRule="auto"/>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小写：</w:t>
            </w:r>
          </w:p>
        </w:tc>
      </w:tr>
      <w:tr w14:paraId="6AC2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125" w:type="dxa"/>
            <w:vAlign w:val="center"/>
          </w:tcPr>
          <w:p w14:paraId="16E38C26">
            <w:pPr>
              <w:widowControl/>
              <w:autoSpaceDE/>
              <w:autoSpaceDN/>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交货</w:t>
            </w:r>
            <w:r>
              <w:rPr>
                <w:rFonts w:hint="eastAsia" w:ascii="宋体" w:hAnsi="宋体" w:eastAsia="宋体" w:cs="宋体"/>
                <w:color w:val="auto"/>
                <w:sz w:val="24"/>
                <w:szCs w:val="24"/>
                <w:highlight w:val="none"/>
                <w:lang w:eastAsia="zh-CN"/>
              </w:rPr>
              <w:t>地点</w:t>
            </w:r>
          </w:p>
        </w:tc>
        <w:tc>
          <w:tcPr>
            <w:tcW w:w="6754" w:type="dxa"/>
            <w:gridSpan w:val="2"/>
            <w:vAlign w:val="center"/>
          </w:tcPr>
          <w:p w14:paraId="363B8F1E">
            <w:pPr>
              <w:widowControl/>
              <w:autoSpaceDE/>
              <w:autoSpaceDN/>
              <w:ind w:left="134" w:leftChars="64"/>
              <w:jc w:val="center"/>
              <w:rPr>
                <w:rFonts w:hint="eastAsia" w:ascii="宋体" w:hAnsi="宋体" w:eastAsia="宋体" w:cs="宋体"/>
                <w:color w:val="auto"/>
                <w:kern w:val="2"/>
                <w:sz w:val="24"/>
                <w:szCs w:val="24"/>
                <w:highlight w:val="none"/>
                <w:u w:val="single"/>
                <w:lang w:eastAsia="zh-CN"/>
              </w:rPr>
            </w:pPr>
          </w:p>
        </w:tc>
      </w:tr>
      <w:tr w14:paraId="0D87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2125" w:type="dxa"/>
            <w:vAlign w:val="center"/>
          </w:tcPr>
          <w:p w14:paraId="478130A2">
            <w:pPr>
              <w:widowControl/>
              <w:autoSpaceDE/>
              <w:autoSpaceDN/>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w:t>
            </w:r>
          </w:p>
        </w:tc>
        <w:tc>
          <w:tcPr>
            <w:tcW w:w="6754" w:type="dxa"/>
            <w:gridSpan w:val="2"/>
            <w:vAlign w:val="center"/>
          </w:tcPr>
          <w:p w14:paraId="1AAE3641">
            <w:pPr>
              <w:widowControl/>
              <w:autoSpaceDE/>
              <w:autoSpaceDN/>
              <w:ind w:left="134" w:leftChars="64"/>
              <w:jc w:val="center"/>
              <w:rPr>
                <w:rFonts w:hint="eastAsia" w:ascii="宋体" w:hAnsi="宋体" w:eastAsia="宋体" w:cs="宋体"/>
                <w:color w:val="auto"/>
                <w:kern w:val="2"/>
                <w:sz w:val="24"/>
                <w:szCs w:val="24"/>
                <w:highlight w:val="none"/>
                <w:u w:val="single"/>
                <w:lang w:eastAsia="zh-CN"/>
              </w:rPr>
            </w:pPr>
          </w:p>
        </w:tc>
      </w:tr>
      <w:tr w14:paraId="00F4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2125" w:type="dxa"/>
            <w:vAlign w:val="center"/>
          </w:tcPr>
          <w:p w14:paraId="19603E85">
            <w:pPr>
              <w:widowControl/>
              <w:autoSpaceDE/>
              <w:autoSpaceDN/>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754" w:type="dxa"/>
            <w:gridSpan w:val="2"/>
            <w:vAlign w:val="center"/>
          </w:tcPr>
          <w:p w14:paraId="650BD789">
            <w:pPr>
              <w:widowControl/>
              <w:autoSpaceDE/>
              <w:autoSpaceDN/>
              <w:ind w:left="134" w:leftChars="64"/>
              <w:jc w:val="center"/>
              <w:rPr>
                <w:rFonts w:hint="eastAsia" w:ascii="宋体" w:hAnsi="宋体" w:eastAsia="宋体" w:cs="宋体"/>
                <w:color w:val="auto"/>
                <w:kern w:val="2"/>
                <w:sz w:val="24"/>
                <w:szCs w:val="24"/>
                <w:highlight w:val="none"/>
                <w:u w:val="single"/>
                <w:lang w:eastAsia="zh-CN"/>
              </w:rPr>
            </w:pPr>
          </w:p>
        </w:tc>
      </w:tr>
      <w:tr w14:paraId="2CF6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2125" w:type="dxa"/>
            <w:vAlign w:val="center"/>
          </w:tcPr>
          <w:p w14:paraId="11C033F5">
            <w:pPr>
              <w:widowControl/>
              <w:autoSpaceDE/>
              <w:autoSpaceDN/>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质量标准</w:t>
            </w:r>
          </w:p>
        </w:tc>
        <w:tc>
          <w:tcPr>
            <w:tcW w:w="6754" w:type="dxa"/>
            <w:gridSpan w:val="2"/>
            <w:vAlign w:val="center"/>
          </w:tcPr>
          <w:p w14:paraId="2EB7DF04">
            <w:pPr>
              <w:widowControl/>
              <w:autoSpaceDE/>
              <w:autoSpaceDN/>
              <w:spacing w:line="360" w:lineRule="auto"/>
              <w:ind w:firstLine="480" w:firstLineChars="200"/>
              <w:jc w:val="center"/>
              <w:rPr>
                <w:rFonts w:hint="eastAsia" w:ascii="宋体" w:hAnsi="宋体" w:eastAsia="宋体" w:cs="宋体"/>
                <w:color w:val="auto"/>
                <w:kern w:val="2"/>
                <w:sz w:val="24"/>
                <w:szCs w:val="24"/>
                <w:highlight w:val="none"/>
                <w:lang w:eastAsia="zh-CN"/>
              </w:rPr>
            </w:pPr>
          </w:p>
        </w:tc>
      </w:tr>
      <w:tr w14:paraId="5608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2125" w:type="dxa"/>
            <w:vAlign w:val="center"/>
          </w:tcPr>
          <w:p w14:paraId="21C85F3C">
            <w:pPr>
              <w:widowControl/>
              <w:autoSpaceDE/>
              <w:autoSpaceDN/>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备注</w:t>
            </w:r>
          </w:p>
        </w:tc>
        <w:tc>
          <w:tcPr>
            <w:tcW w:w="6754" w:type="dxa"/>
            <w:gridSpan w:val="2"/>
            <w:vAlign w:val="center"/>
          </w:tcPr>
          <w:p w14:paraId="0F43052F">
            <w:pPr>
              <w:widowControl/>
              <w:autoSpaceDE/>
              <w:autoSpaceDN/>
              <w:spacing w:line="360" w:lineRule="auto"/>
              <w:ind w:firstLine="480" w:firstLineChars="200"/>
              <w:jc w:val="center"/>
              <w:rPr>
                <w:rFonts w:hint="eastAsia" w:ascii="宋体" w:hAnsi="宋体" w:eastAsia="宋体" w:cs="宋体"/>
                <w:color w:val="auto"/>
                <w:kern w:val="2"/>
                <w:sz w:val="24"/>
                <w:szCs w:val="24"/>
                <w:highlight w:val="none"/>
                <w:lang w:eastAsia="zh-CN"/>
              </w:rPr>
            </w:pPr>
          </w:p>
        </w:tc>
      </w:tr>
    </w:tbl>
    <w:p w14:paraId="01770D60">
      <w:pPr>
        <w:widowControl/>
        <w:autoSpaceDE/>
        <w:autoSpaceDN/>
        <w:spacing w:line="360" w:lineRule="auto"/>
        <w:ind w:left="-273" w:leftChars="-130" w:right="29" w:rightChars="14"/>
        <w:rPr>
          <w:rFonts w:hint="eastAsia" w:ascii="宋体" w:hAnsi="宋体" w:eastAsia="宋体" w:cs="宋体"/>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注：</w:t>
      </w: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此表应附于投标文件封面后第一页；2</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投标总价为本包货物现场完税价（交货地点为采购人指定地点）及投标货物必不可少的部件、标准备件、专用工具费用，已包括与本次投标货物和伴随服务相关的所有税费以及投标人为完成本项目、达到招标文件要求所需要的全部费用，采购人不再另行支付其他任何费用；3</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所有价格单位为人民币元；4</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报价项应是投标货物及相关服务的全部费用的报价；5</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信息须真实准确。</w:t>
      </w:r>
    </w:p>
    <w:p w14:paraId="5837A663">
      <w:pPr>
        <w:tabs>
          <w:tab w:val="left" w:pos="6942"/>
          <w:tab w:val="left" w:pos="7535"/>
        </w:tabs>
        <w:spacing w:line="360" w:lineRule="auto"/>
        <w:ind w:right="141"/>
        <w:jc w:val="both"/>
        <w:rPr>
          <w:rFonts w:hint="eastAsia" w:ascii="宋体" w:hAnsi="宋体" w:eastAsia="宋体" w:cs="宋体"/>
          <w:b/>
          <w:color w:val="auto"/>
          <w:sz w:val="24"/>
          <w:szCs w:val="24"/>
          <w:highlight w:val="none"/>
          <w:lang w:eastAsia="zh-CN"/>
        </w:rPr>
      </w:pPr>
    </w:p>
    <w:p w14:paraId="46A4D344">
      <w:pPr>
        <w:tabs>
          <w:tab w:val="left" w:pos="6942"/>
          <w:tab w:val="left" w:pos="7535"/>
        </w:tabs>
        <w:spacing w:line="360" w:lineRule="auto"/>
        <w:ind w:right="141"/>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 xml:space="preserve">投标人：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none"/>
          <w:lang w:eastAsia="zh-CN"/>
        </w:rPr>
        <w:t>（盖章）</w:t>
      </w:r>
      <w:r>
        <w:rPr>
          <w:rFonts w:hint="eastAsia" w:ascii="宋体" w:hAnsi="宋体" w:eastAsia="宋体" w:cs="宋体"/>
          <w:b/>
          <w:color w:val="auto"/>
          <w:sz w:val="24"/>
          <w:szCs w:val="24"/>
          <w:highlight w:val="none"/>
          <w:lang w:eastAsia="zh-CN"/>
        </w:rPr>
        <w:t xml:space="preserve"> </w:t>
      </w:r>
    </w:p>
    <w:p w14:paraId="24EDC75C">
      <w:pPr>
        <w:tabs>
          <w:tab w:val="left" w:pos="6942"/>
          <w:tab w:val="left" w:pos="7535"/>
        </w:tabs>
        <w:spacing w:line="360" w:lineRule="auto"/>
        <w:ind w:right="141"/>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法定代</w:t>
      </w:r>
      <w:r>
        <w:rPr>
          <w:rFonts w:hint="eastAsia" w:ascii="宋体" w:hAnsi="宋体" w:eastAsia="宋体" w:cs="宋体"/>
          <w:b/>
          <w:color w:val="auto"/>
          <w:spacing w:val="-3"/>
          <w:sz w:val="24"/>
          <w:szCs w:val="24"/>
          <w:highlight w:val="none"/>
          <w:lang w:eastAsia="zh-CN"/>
        </w:rPr>
        <w:t>表</w:t>
      </w:r>
      <w:r>
        <w:rPr>
          <w:rFonts w:hint="eastAsia" w:ascii="宋体" w:hAnsi="宋体" w:eastAsia="宋体" w:cs="宋体"/>
          <w:b/>
          <w:color w:val="auto"/>
          <w:sz w:val="24"/>
          <w:szCs w:val="24"/>
          <w:highlight w:val="none"/>
          <w:lang w:eastAsia="zh-CN"/>
        </w:rPr>
        <w:t>人或其</w:t>
      </w:r>
      <w:r>
        <w:rPr>
          <w:rFonts w:hint="eastAsia" w:ascii="宋体" w:hAnsi="宋体" w:eastAsia="宋体" w:cs="宋体"/>
          <w:b/>
          <w:color w:val="auto"/>
          <w:spacing w:val="-3"/>
          <w:sz w:val="24"/>
          <w:szCs w:val="24"/>
          <w:highlight w:val="none"/>
          <w:lang w:eastAsia="zh-CN"/>
        </w:rPr>
        <w:t>委托</w:t>
      </w:r>
      <w:r>
        <w:rPr>
          <w:rFonts w:hint="eastAsia" w:ascii="宋体" w:hAnsi="宋体" w:eastAsia="宋体" w:cs="宋体"/>
          <w:b/>
          <w:color w:val="auto"/>
          <w:sz w:val="24"/>
          <w:szCs w:val="24"/>
          <w:highlight w:val="none"/>
          <w:lang w:eastAsia="zh-CN"/>
        </w:rPr>
        <w:t xml:space="preserve">代理人：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lang w:eastAsia="zh-CN"/>
        </w:rPr>
        <w:t>（签字或盖章）</w:t>
      </w:r>
    </w:p>
    <w:p w14:paraId="5B3163CA">
      <w:pPr>
        <w:keepNext w:val="0"/>
        <w:keepLines w:val="0"/>
        <w:pageBreakBefore w:val="0"/>
        <w:widowControl w:val="0"/>
        <w:tabs>
          <w:tab w:val="left" w:pos="3611"/>
          <w:tab w:val="left" w:pos="4626"/>
          <w:tab w:val="left" w:pos="5642"/>
        </w:tabs>
        <w:kinsoku/>
        <w:wordWrap/>
        <w:overflowPunct/>
        <w:topLinePunct w:val="0"/>
        <w:autoSpaceDE/>
        <w:autoSpaceDN/>
        <w:bidi w:val="0"/>
        <w:adjustRightInd/>
        <w:snapToGrid/>
        <w:spacing w:line="360" w:lineRule="auto"/>
        <w:ind w:right="53" w:rightChars="25"/>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日期：</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eastAsia="zh-CN"/>
        </w:rPr>
        <w:t>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eastAsia="zh-CN"/>
        </w:rPr>
        <w:t>月</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lang w:eastAsia="zh-CN"/>
        </w:rPr>
        <w:t>日</w:t>
      </w:r>
    </w:p>
    <w:p w14:paraId="2CB83C54">
      <w:pPr>
        <w:pStyle w:val="2"/>
        <w:rPr>
          <w:rFonts w:hint="eastAsia" w:ascii="宋体" w:hAnsi="宋体" w:eastAsia="宋体" w:cs="宋体"/>
          <w:b/>
          <w:color w:val="auto"/>
          <w:sz w:val="24"/>
          <w:szCs w:val="24"/>
          <w:highlight w:val="none"/>
          <w:lang w:eastAsia="zh-CN"/>
        </w:rPr>
      </w:pPr>
    </w:p>
    <w:p w14:paraId="166994B1">
      <w:pPr>
        <w:pStyle w:val="2"/>
        <w:rPr>
          <w:rFonts w:hint="eastAsia" w:ascii="宋体" w:hAnsi="宋体" w:eastAsia="宋体" w:cs="宋体"/>
          <w:b/>
          <w:color w:val="auto"/>
          <w:sz w:val="24"/>
          <w:szCs w:val="24"/>
          <w:highlight w:val="none"/>
          <w:lang w:eastAsia="zh-CN"/>
        </w:rPr>
      </w:pPr>
    </w:p>
    <w:p w14:paraId="4891330D">
      <w:pPr>
        <w:pStyle w:val="2"/>
        <w:rPr>
          <w:rFonts w:hint="eastAsia" w:ascii="宋体" w:hAnsi="宋体" w:eastAsia="宋体" w:cs="宋体"/>
          <w:b/>
          <w:color w:val="auto"/>
          <w:sz w:val="24"/>
          <w:szCs w:val="24"/>
          <w:highlight w:val="none"/>
          <w:lang w:eastAsia="zh-CN"/>
        </w:rPr>
      </w:pPr>
    </w:p>
    <w:p w14:paraId="702B99C9">
      <w:pPr>
        <w:pStyle w:val="2"/>
        <w:rPr>
          <w:rFonts w:hint="eastAsia" w:ascii="宋体" w:hAnsi="宋体" w:eastAsia="宋体" w:cs="宋体"/>
          <w:b/>
          <w:color w:val="auto"/>
          <w:sz w:val="24"/>
          <w:szCs w:val="24"/>
          <w:highlight w:val="none"/>
          <w:lang w:eastAsia="zh-CN"/>
        </w:rPr>
      </w:pPr>
    </w:p>
    <w:p w14:paraId="07C80B25">
      <w:pPr>
        <w:pStyle w:val="2"/>
        <w:rPr>
          <w:rFonts w:hint="eastAsia" w:ascii="宋体" w:hAnsi="宋体" w:eastAsia="宋体" w:cs="宋体"/>
          <w:b/>
          <w:color w:val="auto"/>
          <w:sz w:val="24"/>
          <w:szCs w:val="24"/>
          <w:highlight w:val="none"/>
          <w:lang w:eastAsia="zh-CN"/>
        </w:rPr>
      </w:pPr>
    </w:p>
    <w:p w14:paraId="22322863">
      <w:pPr>
        <w:widowControl/>
        <w:autoSpaceDE/>
        <w:autoSpaceDN/>
        <w:spacing w:line="480" w:lineRule="auto"/>
        <w:jc w:val="center"/>
        <w:outlineLvl w:val="2"/>
        <w:rPr>
          <w:rFonts w:hint="default" w:ascii="Times New Roman" w:hAnsi="Times New Roman" w:cs="Times New Roman"/>
          <w:bCs/>
          <w:sz w:val="24"/>
        </w:rPr>
      </w:pPr>
      <w:bookmarkStart w:id="75" w:name="_Toc533420649"/>
      <w:r>
        <w:rPr>
          <w:rFonts w:hint="eastAsia" w:ascii="宋体" w:hAnsi="宋体" w:eastAsia="宋体" w:cs="宋体"/>
          <w:b/>
          <w:color w:val="auto"/>
          <w:sz w:val="30"/>
          <w:szCs w:val="30"/>
          <w:highlight w:val="none"/>
          <w:lang w:val="en-US" w:eastAsia="zh-CN"/>
        </w:rPr>
        <w:t>二、</w:t>
      </w:r>
      <w:r>
        <w:rPr>
          <w:rFonts w:hint="default" w:ascii="宋体" w:hAnsi="宋体" w:eastAsia="宋体" w:cs="宋体"/>
          <w:b/>
          <w:color w:val="auto"/>
          <w:sz w:val="30"/>
          <w:szCs w:val="30"/>
          <w:highlight w:val="none"/>
          <w:lang w:val="en-US" w:eastAsia="zh-CN"/>
        </w:rPr>
        <w:t>关于招标文件“第二章实质性要求”的承诺函（实质性要求）</w:t>
      </w:r>
    </w:p>
    <w:p w14:paraId="1F1A974E">
      <w:pPr>
        <w:widowControl/>
        <w:spacing w:line="360" w:lineRule="auto"/>
        <w:jc w:val="left"/>
        <w:rPr>
          <w:rFonts w:hint="default" w:ascii="Times New Roman" w:hAnsi="Times New Roman" w:cs="Times New Roman"/>
          <w:sz w:val="24"/>
        </w:rPr>
      </w:pPr>
      <w:r>
        <w:rPr>
          <w:rFonts w:hint="eastAsia" w:cs="Times New Roman"/>
          <w:b/>
          <w:sz w:val="24"/>
          <w:u w:val="single"/>
          <w:lang w:val="en-US" w:eastAsia="zh-CN"/>
        </w:rPr>
        <w:t>采购人、采购代理机构</w:t>
      </w:r>
      <w:r>
        <w:rPr>
          <w:rFonts w:hint="default" w:ascii="Times New Roman" w:hAnsi="Times New Roman" w:cs="Times New Roman"/>
          <w:sz w:val="24"/>
        </w:rPr>
        <w:t>：</w:t>
      </w:r>
    </w:p>
    <w:p w14:paraId="5F2A247F">
      <w:pPr>
        <w:widowControl/>
        <w:ind w:firstLine="480" w:firstLineChars="200"/>
        <w:jc w:val="left"/>
        <w:rPr>
          <w:rFonts w:hint="default" w:ascii="Times New Roman" w:hAnsi="Times New Roman" w:cs="Times New Roman"/>
          <w:sz w:val="24"/>
        </w:rPr>
      </w:pPr>
    </w:p>
    <w:p w14:paraId="2E9B4FFF">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我单位作为本次采购项目的投标人，根据招标文件要求，现郑重承诺如下：</w:t>
      </w:r>
    </w:p>
    <w:p w14:paraId="6B7384C4">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一、我单位完全接受并响应招标文件“采购预算及最高限价”要求；</w:t>
      </w:r>
    </w:p>
    <w:p w14:paraId="7D702917">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二、我单位完全接受并响应招标文件“是否接受联合体”要求；</w:t>
      </w:r>
    </w:p>
    <w:p w14:paraId="4C827EBB">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三、我单位完全接受并响应招标文件“投标（响应）保证金”要求；</w:t>
      </w:r>
    </w:p>
    <w:p w14:paraId="0870204B">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四、我单位完全接受并响应招标文件“履约保证金”要求；</w:t>
      </w:r>
    </w:p>
    <w:p w14:paraId="5DBD2C4C">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五、我单位完全接受并响应招标文件“代理服务费”要求；</w:t>
      </w:r>
    </w:p>
    <w:p w14:paraId="55CBF51A">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六、我单位完全满足招标文件“2.4.2计量单位”要求；</w:t>
      </w:r>
    </w:p>
    <w:p w14:paraId="05B2BD5E">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七、我单位完全满足招标文件“2.4.3投标货币”要求；</w:t>
      </w:r>
    </w:p>
    <w:p w14:paraId="02B041F6">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八、我单位完全满足招标文件“2.4.4知识产权”要求：</w:t>
      </w:r>
    </w:p>
    <w:p w14:paraId="5B9008D4">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一）、投标人应保证在本项目中使用的任何技术、产品和服务（包括部分使用），不会产生因第三方提出侵犯其专利权、商标权或其它知识产权而引起的法律和经济纠纷，如因专利权、商标权或其它知识产权而引起法律和经济纠纷，由投标人承担所有相关责任，并且赔偿由此给采购人带来的损失。采购人享有本项目实施过程中产生的知识成果及知识产权。</w:t>
      </w:r>
    </w:p>
    <w:p w14:paraId="31124F72">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二）、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w:t>
      </w:r>
    </w:p>
    <w:p w14:paraId="510BC8AE">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（三）、如使用投标人所不拥有的知识产权，则在投标报价中必须包括合法使用该知识产权的相关费用。</w:t>
      </w:r>
    </w:p>
    <w:p w14:paraId="2D0AFE8C">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九、我单位完全满足招标文件“2.4.5投标报价”要求；</w:t>
      </w:r>
    </w:p>
    <w:p w14:paraId="28C075F0">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十、我单位完全满足招标文件“2.4.6投标文件的编制、签章和加密”要求；</w:t>
      </w:r>
    </w:p>
    <w:p w14:paraId="34E0C6BA">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十一、我单位完全满足招标文件“2.4.7投标文件的提交”要求；</w:t>
      </w:r>
    </w:p>
    <w:p w14:paraId="06C121A9">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十二、我单位完全满足招标文件“2.4.8投标文件的补充、修改、撤回”要求；</w:t>
      </w:r>
    </w:p>
    <w:p w14:paraId="1DA7419A">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十三、我单位完全满足招标文件“2.5.1.2解密投标文件”要求；</w:t>
      </w:r>
    </w:p>
    <w:p w14:paraId="3F91F8F9">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十四、我单位完全满足招标文件“2.6.3合同分包和转包”要求；</w:t>
      </w:r>
    </w:p>
    <w:p w14:paraId="6EC6C49E">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十五、我单位所投产品中若涉及CCC、进网许可证、无线电发射设备型号核准证等前置许可认证的，提供对应证书或者承诺中标（成交）后签订合同前将对应证书交与采购人。</w:t>
      </w:r>
    </w:p>
    <w:p w14:paraId="10DF2C08">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十六、我单位如对招标文件有异议，已经在投标截止时间届满前依法进行维权救济，不存在对招标文件有异议的同时又参加投标以求侥幸中标（成交）或者为实现其他非法目的的行为。</w:t>
      </w:r>
    </w:p>
    <w:p w14:paraId="2B9290A8">
      <w:pPr>
        <w:widowControl/>
        <w:autoSpaceDE/>
        <w:autoSpaceDN/>
        <w:spacing w:line="360" w:lineRule="auto"/>
        <w:ind w:left="-273" w:leftChars="-130" w:right="29" w:rightChars="14"/>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十七、</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（其他补充说明）。</w:t>
      </w:r>
    </w:p>
    <w:p w14:paraId="51DE6ACA">
      <w:pPr>
        <w:widowControl/>
        <w:autoSpaceDE/>
        <w:autoSpaceDN/>
        <w:spacing w:line="360" w:lineRule="auto"/>
        <w:ind w:left="-273" w:leftChars="-130" w:right="29" w:rightChars="14"/>
        <w:rPr>
          <w:rFonts w:hint="default" w:ascii="宋体" w:hAnsi="宋体" w:eastAsia="宋体" w:cs="宋体"/>
          <w:color w:val="auto"/>
          <w:kern w:val="2"/>
          <w:sz w:val="24"/>
          <w:szCs w:val="24"/>
          <w:highlight w:val="none"/>
          <w:lang w:val="en-US" w:eastAsia="zh-CN"/>
        </w:rPr>
      </w:pPr>
    </w:p>
    <w:p w14:paraId="32F87FAD">
      <w:pPr>
        <w:widowControl/>
        <w:autoSpaceDE/>
        <w:autoSpaceDN/>
        <w:spacing w:line="360" w:lineRule="auto"/>
        <w:ind w:left="-273" w:leftChars="-130" w:right="29" w:rightChars="14" w:firstLine="480" w:firstLineChars="200"/>
        <w:rPr>
          <w:rFonts w:hint="default" w:ascii="宋体" w:hAnsi="宋体" w:eastAsia="宋体" w:cs="宋体"/>
          <w:color w:val="auto"/>
          <w:kern w:val="2"/>
          <w:sz w:val="24"/>
          <w:szCs w:val="24"/>
          <w:highlight w:val="none"/>
          <w:lang w:val="en-US" w:eastAsia="zh-CN"/>
        </w:rPr>
      </w:pPr>
      <w:r>
        <w:rPr>
          <w:rFonts w:hint="default" w:ascii="宋体" w:hAnsi="宋体" w:eastAsia="宋体" w:cs="宋体"/>
          <w:color w:val="auto"/>
          <w:kern w:val="2"/>
          <w:sz w:val="24"/>
          <w:szCs w:val="24"/>
          <w:highlight w:val="none"/>
          <w:lang w:val="en-US" w:eastAsia="zh-CN"/>
        </w:rPr>
        <w:t>本单位对上述承诺的内容事项真实性负责。如经查实上述承诺的内容事项存在虚假，我公司愿意接受以提供虚假材料谋取中标追究法律责任。</w:t>
      </w:r>
    </w:p>
    <w:p w14:paraId="71B772C9">
      <w:pPr>
        <w:widowControl/>
        <w:autoSpaceDE/>
        <w:autoSpaceDN/>
        <w:spacing w:line="360" w:lineRule="auto"/>
        <w:ind w:left="-273" w:leftChars="-130" w:right="29" w:rightChars="14"/>
        <w:rPr>
          <w:rFonts w:hint="eastAsia" w:ascii="宋体" w:hAnsi="宋体" w:eastAsia="宋体" w:cs="宋体"/>
          <w:color w:val="auto"/>
          <w:kern w:val="2"/>
          <w:sz w:val="24"/>
          <w:szCs w:val="24"/>
          <w:highlight w:val="none"/>
          <w:lang w:eastAsia="zh-CN"/>
        </w:rPr>
      </w:pPr>
    </w:p>
    <w:p w14:paraId="57C52CA5">
      <w:pPr>
        <w:widowControl/>
        <w:autoSpaceDE/>
        <w:autoSpaceDN/>
        <w:spacing w:line="360" w:lineRule="auto"/>
        <w:ind w:left="-273" w:leftChars="-130" w:right="29" w:rightChars="14"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 标 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盖章</w:t>
      </w:r>
      <w:r>
        <w:rPr>
          <w:rFonts w:hint="eastAsia" w:ascii="宋体" w:hAnsi="宋体" w:eastAsia="宋体" w:cs="宋体"/>
          <w:color w:val="auto"/>
          <w:kern w:val="2"/>
          <w:sz w:val="24"/>
          <w:szCs w:val="24"/>
          <w:highlight w:val="none"/>
          <w:lang w:eastAsia="zh-CN"/>
        </w:rPr>
        <w:t>）</w:t>
      </w:r>
    </w:p>
    <w:p w14:paraId="35941447">
      <w:pPr>
        <w:widowControl/>
        <w:autoSpaceDE/>
        <w:autoSpaceDN/>
        <w:spacing w:line="360" w:lineRule="auto"/>
        <w:ind w:left="-273" w:leftChars="-130" w:right="29" w:rightChars="14"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法定代表人或其委托代理人：</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（签字或盖章）</w:t>
      </w:r>
    </w:p>
    <w:p w14:paraId="7BA4EC04">
      <w:pPr>
        <w:widowControl/>
        <w:autoSpaceDE/>
        <w:autoSpaceDN/>
        <w:spacing w:line="360" w:lineRule="auto"/>
        <w:ind w:left="-273" w:leftChars="-130" w:right="29" w:rightChars="14" w:firstLine="480" w:firstLineChars="200"/>
        <w:rPr>
          <w:rFonts w:hint="default"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lang w:eastAsia="zh-CN"/>
        </w:rPr>
        <w:t>地址：</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eastAsia="zh-CN"/>
        </w:rPr>
        <w:tab/>
      </w:r>
      <w:r>
        <w:rPr>
          <w:rFonts w:hint="eastAsia" w:ascii="宋体" w:hAnsi="宋体" w:eastAsia="宋体" w:cs="宋体"/>
          <w:color w:val="auto"/>
          <w:kern w:val="2"/>
          <w:sz w:val="24"/>
          <w:szCs w:val="24"/>
          <w:highlight w:val="none"/>
          <w:u w:val="single"/>
          <w:lang w:val="en-US" w:eastAsia="zh-CN"/>
        </w:rPr>
        <w:t xml:space="preserve">                                  </w:t>
      </w:r>
    </w:p>
    <w:p w14:paraId="5108B56F">
      <w:pPr>
        <w:widowControl/>
        <w:autoSpaceDE/>
        <w:autoSpaceDN/>
        <w:spacing w:line="360" w:lineRule="auto"/>
        <w:ind w:left="-273" w:leftChars="-130" w:right="29" w:rightChars="14"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电话及传真：</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 xml:space="preserve"> </w:t>
      </w:r>
      <w:r>
        <w:rPr>
          <w:rFonts w:hint="eastAsia" w:ascii="宋体" w:hAnsi="宋体" w:eastAsia="宋体" w:cs="宋体"/>
          <w:color w:val="auto"/>
          <w:kern w:val="2"/>
          <w:sz w:val="24"/>
          <w:szCs w:val="24"/>
          <w:highlight w:val="none"/>
          <w:lang w:eastAsia="zh-CN"/>
        </w:rPr>
        <w:tab/>
      </w:r>
    </w:p>
    <w:p w14:paraId="2ABE4E8E">
      <w:pPr>
        <w:widowControl/>
        <w:autoSpaceDE/>
        <w:autoSpaceDN/>
        <w:spacing w:line="360" w:lineRule="auto"/>
        <w:ind w:left="-273" w:leftChars="-130" w:right="29" w:rightChars="14"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传</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真：</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eastAsia="zh-CN"/>
        </w:rPr>
        <w:t xml:space="preserve"> </w:t>
      </w:r>
      <w:r>
        <w:rPr>
          <w:rFonts w:hint="eastAsia" w:ascii="宋体" w:hAnsi="宋体" w:eastAsia="宋体" w:cs="宋体"/>
          <w:color w:val="auto"/>
          <w:kern w:val="2"/>
          <w:sz w:val="24"/>
          <w:szCs w:val="24"/>
          <w:highlight w:val="none"/>
          <w:lang w:val="en-US" w:eastAsia="zh-CN"/>
        </w:rPr>
        <w:t xml:space="preserve">   </w:t>
      </w:r>
    </w:p>
    <w:p w14:paraId="256617BF">
      <w:pPr>
        <w:widowControl/>
        <w:autoSpaceDE/>
        <w:autoSpaceDN/>
        <w:spacing w:line="360" w:lineRule="auto"/>
        <w:ind w:left="-273" w:leftChars="-130" w:right="29" w:rightChars="14" w:firstLine="480" w:firstLineChars="200"/>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eastAsia="zh-CN"/>
        </w:rPr>
        <w:t>邮政编码：</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u w:val="single"/>
          <w:lang w:val="en-US" w:eastAsia="zh-CN"/>
        </w:rPr>
        <w:t xml:space="preserve">                                </w:t>
      </w:r>
    </w:p>
    <w:p w14:paraId="077BFC40">
      <w:pPr>
        <w:widowControl/>
        <w:autoSpaceDE/>
        <w:autoSpaceDN/>
        <w:spacing w:line="360" w:lineRule="auto"/>
        <w:ind w:left="-273" w:leftChars="-130" w:right="29" w:rightChars="14"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日期：</w:t>
      </w:r>
      <w:r>
        <w:rPr>
          <w:rFonts w:hint="eastAsia" w:ascii="宋体" w:hAnsi="宋体" w:eastAsia="宋体" w:cs="宋体"/>
          <w:color w:val="auto"/>
          <w:kern w:val="2"/>
          <w:sz w:val="24"/>
          <w:szCs w:val="24"/>
          <w:highlight w:val="none"/>
          <w:lang w:eastAsia="zh-CN"/>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ab/>
      </w:r>
      <w:r>
        <w:rPr>
          <w:rFonts w:hint="eastAsia" w:ascii="宋体" w:hAnsi="宋体" w:eastAsia="宋体" w:cs="宋体"/>
          <w:color w:val="auto"/>
          <w:kern w:val="2"/>
          <w:sz w:val="24"/>
          <w:szCs w:val="24"/>
          <w:highlight w:val="none"/>
          <w:lang w:eastAsia="zh-CN"/>
        </w:rPr>
        <w:t xml:space="preserve">年  </w:t>
      </w:r>
      <w:r>
        <w:rPr>
          <w:rFonts w:hint="eastAsia" w:ascii="宋体" w:hAnsi="宋体" w:eastAsia="宋体" w:cs="宋体"/>
          <w:color w:val="auto"/>
          <w:kern w:val="2"/>
          <w:sz w:val="24"/>
          <w:szCs w:val="24"/>
          <w:highlight w:val="none"/>
          <w:lang w:eastAsia="zh-CN"/>
        </w:rPr>
        <w:tab/>
      </w:r>
      <w:r>
        <w:rPr>
          <w:rFonts w:hint="eastAsia" w:ascii="宋体" w:hAnsi="宋体" w:eastAsia="宋体" w:cs="宋体"/>
          <w:color w:val="auto"/>
          <w:kern w:val="2"/>
          <w:sz w:val="24"/>
          <w:szCs w:val="24"/>
          <w:highlight w:val="none"/>
          <w:lang w:eastAsia="zh-CN"/>
        </w:rPr>
        <w:t xml:space="preserve">月  </w:t>
      </w:r>
      <w:r>
        <w:rPr>
          <w:rFonts w:hint="eastAsia" w:ascii="宋体" w:hAnsi="宋体" w:eastAsia="宋体" w:cs="宋体"/>
          <w:color w:val="auto"/>
          <w:kern w:val="2"/>
          <w:sz w:val="24"/>
          <w:szCs w:val="24"/>
          <w:highlight w:val="none"/>
          <w:lang w:eastAsia="zh-CN"/>
        </w:rPr>
        <w:tab/>
      </w:r>
      <w:r>
        <w:rPr>
          <w:rFonts w:hint="eastAsia" w:ascii="宋体" w:hAnsi="宋体" w:eastAsia="宋体" w:cs="宋体"/>
          <w:color w:val="auto"/>
          <w:kern w:val="2"/>
          <w:sz w:val="24"/>
          <w:szCs w:val="24"/>
          <w:highlight w:val="none"/>
          <w:lang w:eastAsia="zh-CN"/>
        </w:rPr>
        <w:t>日</w:t>
      </w:r>
    </w:p>
    <w:p w14:paraId="4BCD09E8">
      <w:pPr>
        <w:pStyle w:val="7"/>
        <w:rPr>
          <w:rFonts w:hint="eastAsia" w:ascii="宋体" w:hAnsi="宋体" w:eastAsia="宋体" w:cs="宋体"/>
          <w:color w:val="auto"/>
          <w:spacing w:val="-1"/>
          <w:highlight w:val="none"/>
          <w:lang w:eastAsia="zh-CN"/>
        </w:rPr>
      </w:pPr>
    </w:p>
    <w:p w14:paraId="440C22E1">
      <w:pPr>
        <w:rPr>
          <w:rFonts w:hint="eastAsia" w:ascii="宋体" w:hAnsi="宋体" w:eastAsia="宋体" w:cs="宋体"/>
          <w:color w:val="auto"/>
          <w:spacing w:val="-1"/>
          <w:highlight w:val="none"/>
          <w:lang w:eastAsia="zh-CN"/>
        </w:rPr>
      </w:pPr>
    </w:p>
    <w:p w14:paraId="74D0E17B">
      <w:pPr>
        <w:pStyle w:val="7"/>
        <w:rPr>
          <w:rFonts w:hint="eastAsia" w:ascii="宋体" w:hAnsi="宋体" w:eastAsia="宋体" w:cs="宋体"/>
          <w:color w:val="auto"/>
          <w:spacing w:val="-1"/>
          <w:highlight w:val="none"/>
          <w:lang w:eastAsia="zh-CN"/>
        </w:rPr>
      </w:pPr>
    </w:p>
    <w:p w14:paraId="2325D2B6">
      <w:pPr>
        <w:rPr>
          <w:rFonts w:hint="eastAsia" w:ascii="宋体" w:hAnsi="宋体" w:eastAsia="宋体" w:cs="宋体"/>
          <w:color w:val="auto"/>
          <w:spacing w:val="-1"/>
          <w:highlight w:val="none"/>
          <w:lang w:eastAsia="zh-CN"/>
        </w:rPr>
      </w:pPr>
    </w:p>
    <w:p w14:paraId="633A085E">
      <w:pPr>
        <w:pStyle w:val="2"/>
        <w:rPr>
          <w:rFonts w:hint="eastAsia" w:ascii="宋体" w:hAnsi="宋体" w:eastAsia="宋体" w:cs="宋体"/>
          <w:color w:val="auto"/>
          <w:spacing w:val="-1"/>
          <w:highlight w:val="none"/>
          <w:lang w:eastAsia="zh-CN"/>
        </w:rPr>
      </w:pPr>
    </w:p>
    <w:p w14:paraId="2E0605ED">
      <w:pPr>
        <w:pStyle w:val="2"/>
        <w:rPr>
          <w:rFonts w:hint="eastAsia" w:ascii="宋体" w:hAnsi="宋体" w:eastAsia="宋体" w:cs="宋体"/>
          <w:color w:val="auto"/>
          <w:spacing w:val="-1"/>
          <w:highlight w:val="none"/>
          <w:lang w:eastAsia="zh-CN"/>
        </w:rPr>
      </w:pPr>
    </w:p>
    <w:p w14:paraId="6396490B">
      <w:pPr>
        <w:pStyle w:val="2"/>
        <w:rPr>
          <w:rFonts w:hint="eastAsia" w:ascii="宋体" w:hAnsi="宋体" w:eastAsia="宋体" w:cs="宋体"/>
          <w:color w:val="auto"/>
          <w:spacing w:val="-1"/>
          <w:highlight w:val="none"/>
          <w:lang w:eastAsia="zh-CN"/>
        </w:rPr>
      </w:pPr>
    </w:p>
    <w:p w14:paraId="4610AD26">
      <w:pPr>
        <w:pStyle w:val="2"/>
        <w:rPr>
          <w:rFonts w:hint="eastAsia" w:ascii="宋体" w:hAnsi="宋体" w:eastAsia="宋体" w:cs="宋体"/>
          <w:color w:val="auto"/>
          <w:spacing w:val="-1"/>
          <w:highlight w:val="none"/>
          <w:lang w:eastAsia="zh-CN"/>
        </w:rPr>
      </w:pPr>
    </w:p>
    <w:p w14:paraId="084CBCCA">
      <w:pPr>
        <w:pStyle w:val="2"/>
        <w:rPr>
          <w:rFonts w:hint="eastAsia" w:ascii="宋体" w:hAnsi="宋体" w:eastAsia="宋体" w:cs="宋体"/>
          <w:color w:val="auto"/>
          <w:spacing w:val="-1"/>
          <w:highlight w:val="none"/>
          <w:lang w:eastAsia="zh-CN"/>
        </w:rPr>
      </w:pPr>
    </w:p>
    <w:p w14:paraId="5DDC1102">
      <w:pPr>
        <w:pStyle w:val="2"/>
        <w:rPr>
          <w:rFonts w:hint="eastAsia" w:ascii="宋体" w:hAnsi="宋体" w:eastAsia="宋体" w:cs="宋体"/>
          <w:color w:val="auto"/>
          <w:spacing w:val="-1"/>
          <w:highlight w:val="none"/>
          <w:lang w:eastAsia="zh-CN"/>
        </w:rPr>
      </w:pPr>
    </w:p>
    <w:p w14:paraId="56571103">
      <w:pPr>
        <w:pStyle w:val="2"/>
        <w:rPr>
          <w:rFonts w:hint="eastAsia" w:ascii="宋体" w:hAnsi="宋体" w:eastAsia="宋体" w:cs="宋体"/>
          <w:color w:val="auto"/>
          <w:spacing w:val="-1"/>
          <w:highlight w:val="none"/>
          <w:lang w:eastAsia="zh-CN"/>
        </w:rPr>
      </w:pPr>
    </w:p>
    <w:p w14:paraId="5EC0B964">
      <w:pPr>
        <w:pStyle w:val="2"/>
        <w:rPr>
          <w:rFonts w:hint="eastAsia" w:ascii="宋体" w:hAnsi="宋体" w:eastAsia="宋体" w:cs="宋体"/>
          <w:color w:val="auto"/>
          <w:spacing w:val="-1"/>
          <w:highlight w:val="none"/>
          <w:lang w:eastAsia="zh-CN"/>
        </w:rPr>
      </w:pPr>
    </w:p>
    <w:p w14:paraId="09DD2F86">
      <w:pPr>
        <w:pStyle w:val="2"/>
        <w:ind w:left="0" w:leftChars="0" w:firstLine="0" w:firstLineChars="0"/>
        <w:rPr>
          <w:rFonts w:hint="eastAsia" w:ascii="宋体" w:hAnsi="宋体" w:eastAsia="宋体" w:cs="宋体"/>
          <w:color w:val="auto"/>
          <w:highlight w:val="none"/>
          <w:lang w:eastAsia="zh-CN"/>
        </w:rPr>
      </w:pPr>
    </w:p>
    <w:p w14:paraId="0A3A9A50">
      <w:pPr>
        <w:pStyle w:val="2"/>
        <w:ind w:left="0" w:leftChars="0" w:firstLine="0" w:firstLineChars="0"/>
        <w:rPr>
          <w:rFonts w:hint="eastAsia" w:ascii="宋体" w:hAnsi="宋体" w:eastAsia="宋体" w:cs="宋体"/>
          <w:color w:val="auto"/>
          <w:highlight w:val="none"/>
          <w:lang w:eastAsia="zh-CN"/>
        </w:rPr>
      </w:pPr>
    </w:p>
    <w:p w14:paraId="6B3BFE58">
      <w:pPr>
        <w:rPr>
          <w:rFonts w:hint="eastAsia" w:ascii="宋体" w:hAnsi="宋体" w:eastAsia="宋体" w:cs="宋体"/>
          <w:color w:val="auto"/>
          <w:highlight w:val="none"/>
          <w:lang w:eastAsia="zh-CN"/>
        </w:rPr>
      </w:pPr>
    </w:p>
    <w:p w14:paraId="3618BF84">
      <w:pPr>
        <w:pStyle w:val="29"/>
        <w:spacing w:line="480" w:lineRule="auto"/>
        <w:ind w:left="0" w:firstLine="0"/>
        <w:jc w:val="center"/>
        <w:outlineLvl w:val="2"/>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法定代表人身份证明</w:t>
      </w:r>
      <w:bookmarkEnd w:id="75"/>
    </w:p>
    <w:p w14:paraId="40C9A92C">
      <w:pPr>
        <w:spacing w:line="360" w:lineRule="auto"/>
        <w:ind w:firstLine="6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1801D854">
      <w:pPr>
        <w:spacing w:line="360" w:lineRule="auto"/>
        <w:ind w:firstLine="6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p>
    <w:p w14:paraId="0CE770C1">
      <w:pPr>
        <w:spacing w:line="360" w:lineRule="auto"/>
        <w:ind w:firstLine="61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p>
    <w:p w14:paraId="4358BA41">
      <w:pPr>
        <w:spacing w:line="360" w:lineRule="auto"/>
        <w:ind w:firstLine="6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A35FB14">
      <w:pPr>
        <w:spacing w:line="360" w:lineRule="auto"/>
        <w:ind w:firstLine="6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276B60B7">
      <w:pPr>
        <w:spacing w:line="360" w:lineRule="auto"/>
        <w:ind w:firstLine="6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CD0B081">
      <w:pPr>
        <w:spacing w:line="360" w:lineRule="auto"/>
        <w:ind w:firstLine="6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14:paraId="21635A10">
      <w:pPr>
        <w:spacing w:line="360" w:lineRule="auto"/>
        <w:ind w:firstLine="610"/>
        <w:rPr>
          <w:rFonts w:hint="eastAsia" w:ascii="宋体" w:hAnsi="宋体" w:eastAsia="宋体" w:cs="宋体"/>
          <w:color w:val="auto"/>
          <w:sz w:val="24"/>
          <w:szCs w:val="24"/>
          <w:highlight w:val="none"/>
        </w:rPr>
      </w:pPr>
    </w:p>
    <w:p w14:paraId="5D933880">
      <w:pPr>
        <w:pStyle w:val="7"/>
        <w:spacing w:line="480" w:lineRule="auto"/>
        <w:ind w:left="5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特此证明。</w:t>
      </w:r>
    </w:p>
    <w:p w14:paraId="5D74CBB4">
      <w:pPr>
        <w:pStyle w:val="7"/>
        <w:spacing w:line="480" w:lineRule="auto"/>
        <w:ind w:left="5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附：法定代表人身份证复印件。</w:t>
      </w:r>
    </w:p>
    <w:p w14:paraId="1D1E8EC7">
      <w:pPr>
        <w:pStyle w:val="7"/>
        <w:spacing w:line="480" w:lineRule="auto"/>
        <w:ind w:left="520"/>
        <w:rPr>
          <w:rFonts w:hint="eastAsia" w:ascii="宋体" w:hAnsi="宋体" w:eastAsia="宋体" w:cs="宋体"/>
          <w:color w:val="auto"/>
          <w:sz w:val="24"/>
          <w:szCs w:val="24"/>
          <w:highlight w:val="none"/>
          <w:lang w:eastAsia="zh-CN"/>
        </w:rPr>
      </w:pPr>
    </w:p>
    <w:p w14:paraId="41B60A36">
      <w:pPr>
        <w:pStyle w:val="7"/>
        <w:tabs>
          <w:tab w:val="left" w:pos="6521"/>
        </w:tabs>
        <w:spacing w:line="480" w:lineRule="auto"/>
        <w:ind w:left="4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投</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pacing w:val="-3"/>
          <w:sz w:val="24"/>
          <w:szCs w:val="24"/>
          <w:highlight w:val="none"/>
          <w:lang w:eastAsia="zh-CN"/>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p>
    <w:p w14:paraId="5EF6DC45">
      <w:pPr>
        <w:pStyle w:val="7"/>
        <w:tabs>
          <w:tab w:val="left" w:pos="5352"/>
          <w:tab w:val="left" w:pos="6192"/>
          <w:tab w:val="left" w:pos="7032"/>
        </w:tabs>
        <w:spacing w:line="480" w:lineRule="auto"/>
        <w:ind w:left="4721"/>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eastAsia="zh-CN"/>
        </w:rPr>
        <w:tab/>
      </w:r>
      <w:r>
        <w:rPr>
          <w:rFonts w:hint="eastAsia" w:ascii="宋体" w:hAnsi="宋体" w:eastAsia="宋体" w:cs="宋体"/>
          <w:color w:val="auto"/>
          <w:sz w:val="24"/>
          <w:szCs w:val="24"/>
          <w:highlight w:val="none"/>
          <w:lang w:eastAsia="zh-CN"/>
        </w:rPr>
        <w:t>日</w:t>
      </w:r>
    </w:p>
    <w:p w14:paraId="47FFECE1">
      <w:pPr>
        <w:spacing w:line="480" w:lineRule="auto"/>
        <w:rPr>
          <w:rFonts w:hint="eastAsia" w:ascii="宋体" w:hAnsi="宋体" w:eastAsia="宋体" w:cs="宋体"/>
          <w:color w:val="auto"/>
          <w:highlight w:val="none"/>
          <w:lang w:eastAsia="zh-CN"/>
        </w:rPr>
        <w:sectPr>
          <w:pgSz w:w="12240" w:h="15840"/>
          <w:pgMar w:top="1400" w:right="1720" w:bottom="1120" w:left="1700" w:header="0" w:footer="841" w:gutter="0"/>
          <w:cols w:space="720" w:num="1"/>
        </w:sectPr>
      </w:pPr>
    </w:p>
    <w:p w14:paraId="6DFF0AEF">
      <w:pPr>
        <w:pStyle w:val="29"/>
        <w:spacing w:line="480" w:lineRule="auto"/>
        <w:ind w:left="0" w:firstLine="0"/>
        <w:jc w:val="center"/>
        <w:outlineLvl w:val="2"/>
        <w:rPr>
          <w:rFonts w:hint="eastAsia" w:ascii="宋体" w:hAnsi="宋体" w:eastAsia="宋体" w:cs="宋体"/>
          <w:color w:val="auto"/>
          <w:highlight w:val="none"/>
          <w:lang w:eastAsia="zh-CN"/>
        </w:rPr>
      </w:pPr>
      <w:bookmarkStart w:id="76" w:name="_bookmark158"/>
      <w:bookmarkEnd w:id="76"/>
      <w:bookmarkStart w:id="77" w:name="_Toc533420650"/>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授权委托书</w:t>
      </w:r>
      <w:bookmarkEnd w:id="77"/>
    </w:p>
    <w:p w14:paraId="0A1F489A">
      <w:pPr>
        <w:pStyle w:val="7"/>
        <w:tabs>
          <w:tab w:val="left" w:pos="2421"/>
          <w:tab w:val="left" w:pos="5585"/>
        </w:tabs>
        <w:spacing w:line="48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3"/>
          <w:sz w:val="24"/>
          <w:szCs w:val="24"/>
          <w:highlight w:val="none"/>
          <w:lang w:eastAsia="zh-CN"/>
        </w:rPr>
        <w:t>姓</w:t>
      </w:r>
      <w:r>
        <w:rPr>
          <w:rFonts w:hint="eastAsia" w:ascii="宋体" w:hAnsi="宋体" w:eastAsia="宋体" w:cs="宋体"/>
          <w:color w:val="auto"/>
          <w:sz w:val="24"/>
          <w:szCs w:val="24"/>
          <w:highlight w:val="none"/>
          <w:lang w:eastAsia="zh-CN"/>
        </w:rPr>
        <w:t>名）系</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pacing w:val="-3"/>
          <w:sz w:val="24"/>
          <w:szCs w:val="24"/>
          <w:highlight w:val="none"/>
          <w:lang w:eastAsia="zh-CN"/>
        </w:rPr>
        <w:t>名</w:t>
      </w:r>
      <w:r>
        <w:rPr>
          <w:rFonts w:hint="eastAsia" w:ascii="宋体" w:hAnsi="宋体" w:eastAsia="宋体" w:cs="宋体"/>
          <w:color w:val="auto"/>
          <w:sz w:val="24"/>
          <w:szCs w:val="24"/>
          <w:highlight w:val="none"/>
          <w:lang w:eastAsia="zh-CN"/>
        </w:rPr>
        <w:t>称）的</w:t>
      </w:r>
      <w:r>
        <w:rPr>
          <w:rFonts w:hint="eastAsia" w:ascii="宋体" w:hAnsi="宋体" w:eastAsia="宋体" w:cs="宋体"/>
          <w:color w:val="auto"/>
          <w:spacing w:val="-3"/>
          <w:sz w:val="24"/>
          <w:szCs w:val="24"/>
          <w:highlight w:val="none"/>
          <w:lang w:eastAsia="zh-CN"/>
        </w:rPr>
        <w:t>法定</w:t>
      </w:r>
      <w:r>
        <w:rPr>
          <w:rFonts w:hint="eastAsia" w:ascii="宋体" w:hAnsi="宋体" w:eastAsia="宋体" w:cs="宋体"/>
          <w:color w:val="auto"/>
          <w:sz w:val="24"/>
          <w:szCs w:val="24"/>
          <w:highlight w:val="none"/>
          <w:lang w:eastAsia="zh-CN"/>
        </w:rPr>
        <w:t>代表人，</w:t>
      </w:r>
      <w:r>
        <w:rPr>
          <w:rFonts w:hint="eastAsia" w:ascii="宋体" w:hAnsi="宋体" w:eastAsia="宋体" w:cs="宋体"/>
          <w:color w:val="auto"/>
          <w:spacing w:val="-3"/>
          <w:sz w:val="24"/>
          <w:szCs w:val="24"/>
          <w:highlight w:val="none"/>
          <w:lang w:eastAsia="zh-CN"/>
        </w:rPr>
        <w:t>现</w:t>
      </w:r>
      <w:r>
        <w:rPr>
          <w:rFonts w:hint="eastAsia" w:ascii="宋体" w:hAnsi="宋体" w:eastAsia="宋体" w:cs="宋体"/>
          <w:color w:val="auto"/>
          <w:sz w:val="24"/>
          <w:szCs w:val="24"/>
          <w:highlight w:val="none"/>
          <w:lang w:eastAsia="zh-CN"/>
        </w:rPr>
        <w:t>委</w:t>
      </w:r>
      <w:r>
        <w:rPr>
          <w:rFonts w:hint="eastAsia" w:ascii="宋体" w:hAnsi="宋体" w:eastAsia="宋体" w:cs="宋体"/>
          <w:color w:val="auto"/>
          <w:spacing w:val="-1"/>
          <w:sz w:val="24"/>
          <w:szCs w:val="24"/>
          <w:highlight w:val="none"/>
          <w:lang w:eastAsia="zh-CN"/>
        </w:rPr>
        <w:t>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（姓名）为我</w:t>
      </w:r>
      <w:r>
        <w:rPr>
          <w:rFonts w:hint="eastAsia" w:ascii="宋体" w:hAnsi="宋体" w:eastAsia="宋体" w:cs="宋体"/>
          <w:color w:val="auto"/>
          <w:spacing w:val="-3"/>
          <w:sz w:val="24"/>
          <w:szCs w:val="24"/>
          <w:highlight w:val="none"/>
          <w:lang w:eastAsia="zh-CN"/>
        </w:rPr>
        <w:t>方</w:t>
      </w:r>
      <w:r>
        <w:rPr>
          <w:rFonts w:hint="eastAsia" w:ascii="宋体" w:hAnsi="宋体" w:eastAsia="宋体" w:cs="宋体"/>
          <w:color w:val="auto"/>
          <w:spacing w:val="-3"/>
          <w:sz w:val="24"/>
          <w:szCs w:val="24"/>
          <w:highlight w:val="none"/>
          <w:lang w:val="en-US" w:eastAsia="zh-CN"/>
        </w:rPr>
        <w:t>委托</w:t>
      </w:r>
      <w:r>
        <w:rPr>
          <w:rFonts w:hint="eastAsia" w:ascii="宋体" w:hAnsi="宋体" w:eastAsia="宋体" w:cs="宋体"/>
          <w:color w:val="auto"/>
          <w:spacing w:val="-3"/>
          <w:sz w:val="24"/>
          <w:szCs w:val="24"/>
          <w:highlight w:val="none"/>
          <w:lang w:eastAsia="zh-CN"/>
        </w:rPr>
        <w:t>代</w:t>
      </w:r>
      <w:r>
        <w:rPr>
          <w:rFonts w:hint="eastAsia" w:ascii="宋体" w:hAnsi="宋体" w:eastAsia="宋体" w:cs="宋体"/>
          <w:color w:val="auto"/>
          <w:sz w:val="24"/>
          <w:szCs w:val="24"/>
          <w:highlight w:val="none"/>
          <w:lang w:eastAsia="zh-CN"/>
        </w:rPr>
        <w:t>理人。</w:t>
      </w: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eastAsia="zh-CN"/>
        </w:rPr>
        <w:t>代理</w:t>
      </w:r>
      <w:r>
        <w:rPr>
          <w:rFonts w:hint="eastAsia" w:ascii="宋体" w:hAnsi="宋体" w:eastAsia="宋体" w:cs="宋体"/>
          <w:color w:val="auto"/>
          <w:spacing w:val="-3"/>
          <w:sz w:val="24"/>
          <w:szCs w:val="24"/>
          <w:highlight w:val="none"/>
          <w:lang w:eastAsia="zh-CN"/>
        </w:rPr>
        <w:t>人</w:t>
      </w:r>
      <w:r>
        <w:rPr>
          <w:rFonts w:hint="eastAsia" w:ascii="宋体" w:hAnsi="宋体" w:eastAsia="宋体" w:cs="宋体"/>
          <w:color w:val="auto"/>
          <w:sz w:val="24"/>
          <w:szCs w:val="24"/>
          <w:highlight w:val="none"/>
          <w:lang w:eastAsia="zh-CN"/>
        </w:rPr>
        <w:t>根据授</w:t>
      </w:r>
      <w:r>
        <w:rPr>
          <w:rFonts w:hint="eastAsia" w:ascii="宋体" w:hAnsi="宋体" w:eastAsia="宋体" w:cs="宋体"/>
          <w:color w:val="auto"/>
          <w:spacing w:val="-3"/>
          <w:sz w:val="24"/>
          <w:szCs w:val="24"/>
          <w:highlight w:val="none"/>
          <w:lang w:eastAsia="zh-CN"/>
        </w:rPr>
        <w:t>权，</w:t>
      </w:r>
      <w:r>
        <w:rPr>
          <w:rFonts w:hint="eastAsia" w:ascii="宋体" w:hAnsi="宋体" w:eastAsia="宋体" w:cs="宋体"/>
          <w:color w:val="auto"/>
          <w:sz w:val="24"/>
          <w:szCs w:val="24"/>
          <w:highlight w:val="none"/>
          <w:lang w:eastAsia="zh-CN"/>
        </w:rPr>
        <w:t>以我方名义</w:t>
      </w:r>
      <w:r>
        <w:rPr>
          <w:rFonts w:hint="eastAsia" w:ascii="宋体" w:hAnsi="宋体" w:eastAsia="宋体" w:cs="宋体"/>
          <w:color w:val="auto"/>
          <w:spacing w:val="-3"/>
          <w:sz w:val="24"/>
          <w:szCs w:val="24"/>
          <w:highlight w:val="none"/>
          <w:lang w:eastAsia="zh-CN"/>
        </w:rPr>
        <w:t>签</w:t>
      </w:r>
      <w:r>
        <w:rPr>
          <w:rFonts w:hint="eastAsia" w:ascii="宋体" w:hAnsi="宋体" w:eastAsia="宋体" w:cs="宋体"/>
          <w:color w:val="auto"/>
          <w:sz w:val="24"/>
          <w:szCs w:val="24"/>
          <w:highlight w:val="none"/>
          <w:lang w:eastAsia="zh-CN"/>
        </w:rPr>
        <w:t>署、澄清确认、递交、撤回、修改</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文件、签订合同和处理有关事宜，其法律后果由我方承担。</w:t>
      </w:r>
    </w:p>
    <w:p w14:paraId="156546A1">
      <w:pPr>
        <w:pStyle w:val="7"/>
        <w:tabs>
          <w:tab w:val="left" w:pos="3566"/>
        </w:tabs>
        <w:spacing w:line="480" w:lineRule="auto"/>
        <w:ind w:left="10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pacing w:val="-3"/>
          <w:sz w:val="24"/>
          <w:szCs w:val="24"/>
          <w:highlight w:val="none"/>
          <w:lang w:eastAsia="zh-CN"/>
        </w:rPr>
        <w:t>期</w:t>
      </w:r>
      <w:r>
        <w:rPr>
          <w:rFonts w:hint="eastAsia" w:ascii="宋体" w:hAnsi="宋体" w:eastAsia="宋体" w:cs="宋体"/>
          <w:color w:val="auto"/>
          <w:sz w:val="24"/>
          <w:szCs w:val="24"/>
          <w:highlight w:val="none"/>
          <w:lang w:eastAsia="zh-CN"/>
        </w:rPr>
        <w:t>限</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pacing w:val="-3"/>
          <w:sz w:val="24"/>
          <w:szCs w:val="24"/>
          <w:highlight w:val="none"/>
          <w:u w:val="single"/>
          <w:lang w:eastAsia="zh-CN"/>
        </w:rPr>
        <w:tab/>
      </w:r>
      <w:r>
        <w:rPr>
          <w:rFonts w:hint="eastAsia" w:ascii="宋体" w:hAnsi="宋体" w:eastAsia="宋体" w:cs="宋体"/>
          <w:color w:val="auto"/>
          <w:sz w:val="24"/>
          <w:szCs w:val="24"/>
          <w:highlight w:val="none"/>
          <w:lang w:eastAsia="zh-CN"/>
        </w:rPr>
        <w:t>。</w:t>
      </w:r>
    </w:p>
    <w:p w14:paraId="7870201E">
      <w:pPr>
        <w:pStyle w:val="7"/>
        <w:spacing w:line="480" w:lineRule="auto"/>
        <w:ind w:left="5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委托</w:t>
      </w:r>
      <w:r>
        <w:rPr>
          <w:rFonts w:hint="eastAsia" w:ascii="宋体" w:hAnsi="宋体" w:eastAsia="宋体" w:cs="宋体"/>
          <w:color w:val="auto"/>
          <w:sz w:val="24"/>
          <w:szCs w:val="24"/>
          <w:highlight w:val="none"/>
          <w:lang w:eastAsia="zh-CN"/>
        </w:rPr>
        <w:t>代理人无转委托权。</w:t>
      </w:r>
    </w:p>
    <w:p w14:paraId="38D9D3B6">
      <w:pPr>
        <w:pStyle w:val="7"/>
        <w:spacing w:line="480" w:lineRule="auto"/>
        <w:ind w:left="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附：委托代理人身份证复印件</w:t>
      </w:r>
    </w:p>
    <w:p w14:paraId="54FE140D">
      <w:pPr>
        <w:pStyle w:val="7"/>
        <w:spacing w:line="480" w:lineRule="auto"/>
        <w:rPr>
          <w:rFonts w:hint="eastAsia" w:ascii="宋体" w:hAnsi="宋体" w:eastAsia="宋体" w:cs="宋体"/>
          <w:color w:val="auto"/>
          <w:sz w:val="24"/>
          <w:szCs w:val="24"/>
          <w:highlight w:val="none"/>
          <w:lang w:eastAsia="zh-CN"/>
        </w:rPr>
      </w:pPr>
    </w:p>
    <w:p w14:paraId="3770F325">
      <w:pPr>
        <w:pStyle w:val="7"/>
        <w:tabs>
          <w:tab w:val="left" w:pos="3216"/>
          <w:tab w:val="left" w:pos="3636"/>
          <w:tab w:val="left" w:pos="7241"/>
        </w:tabs>
        <w:spacing w:line="480" w:lineRule="auto"/>
        <w:ind w:firstLine="2400" w:firstLineChars="1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pacing w:val="-3"/>
          <w:sz w:val="24"/>
          <w:szCs w:val="24"/>
          <w:highlight w:val="none"/>
          <w:lang w:eastAsia="zh-CN"/>
        </w:rPr>
        <w:t>人：</w:t>
      </w:r>
      <w:r>
        <w:rPr>
          <w:rFonts w:hint="eastAsia" w:ascii="宋体" w:hAnsi="宋体" w:eastAsia="宋体" w:cs="宋体"/>
          <w:color w:val="auto"/>
          <w:spacing w:val="-3"/>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p>
    <w:p w14:paraId="012593E4">
      <w:pPr>
        <w:pStyle w:val="7"/>
        <w:tabs>
          <w:tab w:val="left" w:pos="7661"/>
        </w:tabs>
        <w:spacing w:line="480" w:lineRule="auto"/>
        <w:ind w:firstLine="2400" w:firstLineChars="1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w:t>
      </w:r>
      <w:r>
        <w:rPr>
          <w:rFonts w:hint="eastAsia" w:ascii="宋体" w:hAnsi="宋体" w:eastAsia="宋体" w:cs="宋体"/>
          <w:color w:val="auto"/>
          <w:spacing w:val="-3"/>
          <w:sz w:val="24"/>
          <w:szCs w:val="24"/>
          <w:highlight w:val="none"/>
          <w:lang w:eastAsia="zh-CN"/>
        </w:rPr>
        <w:t>代</w:t>
      </w:r>
      <w:r>
        <w:rPr>
          <w:rFonts w:hint="eastAsia" w:ascii="宋体" w:hAnsi="宋体" w:eastAsia="宋体" w:cs="宋体"/>
          <w:color w:val="auto"/>
          <w:sz w:val="24"/>
          <w:szCs w:val="24"/>
          <w:highlight w:val="none"/>
          <w:lang w:eastAsia="zh-CN"/>
        </w:rPr>
        <w:t>表</w:t>
      </w:r>
      <w:r>
        <w:rPr>
          <w:rFonts w:hint="eastAsia" w:ascii="宋体" w:hAnsi="宋体" w:eastAsia="宋体" w:cs="宋体"/>
          <w:color w:val="auto"/>
          <w:spacing w:val="-3"/>
          <w:sz w:val="24"/>
          <w:szCs w:val="24"/>
          <w:highlight w:val="none"/>
          <w:lang w:eastAsia="zh-CN"/>
        </w:rPr>
        <w:t>人</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14:paraId="4689CAAD">
      <w:pPr>
        <w:pStyle w:val="7"/>
        <w:tabs>
          <w:tab w:val="left" w:pos="8549"/>
        </w:tabs>
        <w:spacing w:line="480" w:lineRule="auto"/>
        <w:ind w:firstLine="2400" w:firstLineChars="1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身份</w:t>
      </w:r>
      <w:r>
        <w:rPr>
          <w:rFonts w:hint="eastAsia" w:ascii="宋体" w:hAnsi="宋体" w:eastAsia="宋体" w:cs="宋体"/>
          <w:color w:val="auto"/>
          <w:spacing w:val="-3"/>
          <w:sz w:val="24"/>
          <w:szCs w:val="24"/>
          <w:highlight w:val="none"/>
          <w:lang w:eastAsia="zh-CN"/>
        </w:rPr>
        <w:t>证</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pacing w:val="-3"/>
          <w:sz w:val="24"/>
          <w:szCs w:val="24"/>
          <w:highlight w:val="none"/>
          <w:lang w:eastAsia="zh-CN"/>
        </w:rPr>
        <w:t>码：</w:t>
      </w:r>
      <w:r>
        <w:rPr>
          <w:rFonts w:hint="eastAsia" w:ascii="宋体" w:hAnsi="宋体" w:eastAsia="宋体" w:cs="宋体"/>
          <w:color w:val="auto"/>
          <w:sz w:val="24"/>
          <w:szCs w:val="24"/>
          <w:highlight w:val="none"/>
          <w:u w:val="single"/>
          <w:lang w:eastAsia="zh-CN"/>
        </w:rPr>
        <w:t xml:space="preserve">                         </w:t>
      </w:r>
    </w:p>
    <w:p w14:paraId="0D60D508">
      <w:pPr>
        <w:pStyle w:val="7"/>
        <w:tabs>
          <w:tab w:val="left" w:pos="7661"/>
        </w:tabs>
        <w:spacing w:line="480" w:lineRule="auto"/>
        <w:ind w:firstLine="2400" w:firstLineChars="1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委托</w:t>
      </w:r>
      <w:r>
        <w:rPr>
          <w:rFonts w:hint="eastAsia" w:ascii="宋体" w:hAnsi="宋体" w:eastAsia="宋体" w:cs="宋体"/>
          <w:color w:val="auto"/>
          <w:spacing w:val="-3"/>
          <w:sz w:val="24"/>
          <w:szCs w:val="24"/>
          <w:highlight w:val="none"/>
          <w:lang w:eastAsia="zh-CN"/>
        </w:rPr>
        <w:t>代</w:t>
      </w:r>
      <w:r>
        <w:rPr>
          <w:rFonts w:hint="eastAsia" w:ascii="宋体" w:hAnsi="宋体" w:eastAsia="宋体" w:cs="宋体"/>
          <w:color w:val="auto"/>
          <w:sz w:val="24"/>
          <w:szCs w:val="24"/>
          <w:highlight w:val="none"/>
          <w:lang w:eastAsia="zh-CN"/>
        </w:rPr>
        <w:t>理</w:t>
      </w:r>
      <w:r>
        <w:rPr>
          <w:rFonts w:hint="eastAsia" w:ascii="宋体" w:hAnsi="宋体" w:eastAsia="宋体" w:cs="宋体"/>
          <w:color w:val="auto"/>
          <w:spacing w:val="-3"/>
          <w:sz w:val="24"/>
          <w:szCs w:val="24"/>
          <w:highlight w:val="none"/>
          <w:lang w:eastAsia="zh-CN"/>
        </w:rPr>
        <w:t>人：</w:t>
      </w:r>
      <w:r>
        <w:rPr>
          <w:rFonts w:hint="eastAsia" w:ascii="宋体" w:hAnsi="宋体" w:eastAsia="宋体" w:cs="宋体"/>
          <w:color w:val="auto"/>
          <w:spacing w:val="-3"/>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14:paraId="14520ECC">
      <w:pPr>
        <w:pStyle w:val="7"/>
        <w:tabs>
          <w:tab w:val="left" w:pos="8549"/>
        </w:tabs>
        <w:spacing w:line="480" w:lineRule="auto"/>
        <w:ind w:firstLine="2400" w:firstLineChars="10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身份</w:t>
      </w:r>
      <w:r>
        <w:rPr>
          <w:rFonts w:hint="eastAsia" w:ascii="宋体" w:hAnsi="宋体" w:eastAsia="宋体" w:cs="宋体"/>
          <w:color w:val="auto"/>
          <w:spacing w:val="-3"/>
          <w:sz w:val="24"/>
          <w:szCs w:val="24"/>
          <w:highlight w:val="none"/>
          <w:lang w:eastAsia="zh-CN"/>
        </w:rPr>
        <w:t>证</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pacing w:val="-3"/>
          <w:sz w:val="24"/>
          <w:szCs w:val="24"/>
          <w:highlight w:val="none"/>
          <w:lang w:eastAsia="zh-CN"/>
        </w:rPr>
        <w:t>码：</w:t>
      </w:r>
      <w:r>
        <w:rPr>
          <w:rFonts w:hint="eastAsia" w:ascii="宋体" w:hAnsi="宋体" w:eastAsia="宋体" w:cs="宋体"/>
          <w:color w:val="auto"/>
          <w:sz w:val="24"/>
          <w:szCs w:val="24"/>
          <w:highlight w:val="none"/>
          <w:u w:val="single"/>
          <w:lang w:eastAsia="zh-CN"/>
        </w:rPr>
        <w:t xml:space="preserve">                         </w:t>
      </w:r>
    </w:p>
    <w:p w14:paraId="50D728F7">
      <w:pPr>
        <w:ind w:firstLine="2400" w:firstLineChars="10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联 系 电 话：</w:t>
      </w:r>
      <w:r>
        <w:rPr>
          <w:rFonts w:hint="eastAsia" w:ascii="宋体" w:hAnsi="宋体" w:eastAsia="宋体" w:cs="宋体"/>
          <w:color w:val="auto"/>
          <w:sz w:val="24"/>
          <w:szCs w:val="24"/>
          <w:highlight w:val="none"/>
          <w:u w:val="single"/>
          <w:lang w:val="en-US" w:eastAsia="zh-CN"/>
        </w:rPr>
        <w:t xml:space="preserve">                        </w:t>
      </w:r>
    </w:p>
    <w:p w14:paraId="08B5FF3B">
      <w:pP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ab/>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ab/>
      </w:r>
      <w:r>
        <w:rPr>
          <w:rFonts w:hint="eastAsia" w:ascii="宋体" w:hAnsi="宋体" w:eastAsia="宋体" w:cs="宋体"/>
          <w:color w:val="auto"/>
          <w:sz w:val="24"/>
          <w:szCs w:val="24"/>
          <w:highlight w:val="none"/>
          <w:u w:val="none"/>
          <w:lang w:val="en-US" w:eastAsia="zh-CN"/>
        </w:rPr>
        <w:t>日</w:t>
      </w:r>
    </w:p>
    <w:p w14:paraId="11C2DD1B">
      <w:pPr>
        <w:pStyle w:val="2"/>
        <w:ind w:left="0" w:leftChars="0" w:firstLine="0" w:firstLineChars="0"/>
        <w:rPr>
          <w:rFonts w:hint="eastAsia" w:ascii="宋体" w:hAnsi="宋体" w:eastAsia="宋体" w:cs="宋体"/>
          <w:b/>
          <w:color w:val="auto"/>
          <w:sz w:val="24"/>
          <w:szCs w:val="24"/>
          <w:highlight w:val="none"/>
          <w:lang w:eastAsia="zh-CN"/>
        </w:rPr>
        <w:sectPr>
          <w:pgSz w:w="12240" w:h="15840"/>
          <w:pgMar w:top="1500" w:right="1720" w:bottom="1120" w:left="1720" w:header="0" w:footer="841" w:gutter="0"/>
          <w:cols w:space="720" w:num="1"/>
        </w:sectPr>
      </w:pPr>
    </w:p>
    <w:p w14:paraId="6B43361C">
      <w:pPr>
        <w:pStyle w:val="29"/>
        <w:spacing w:line="457" w:lineRule="exact"/>
        <w:ind w:left="0" w:right="-71"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、资格审查资料</w:t>
      </w:r>
    </w:p>
    <w:p w14:paraId="06729420">
      <w:pPr>
        <w:pStyle w:val="7"/>
        <w:rPr>
          <w:rFonts w:hint="eastAsia" w:ascii="宋体" w:hAnsi="宋体" w:eastAsia="宋体" w:cs="宋体"/>
          <w:b/>
          <w:color w:val="auto"/>
          <w:sz w:val="15"/>
          <w:highlight w:val="none"/>
          <w:lang w:eastAsia="zh-CN"/>
        </w:rPr>
      </w:pPr>
    </w:p>
    <w:p w14:paraId="7090204C">
      <w:pPr>
        <w:pStyle w:val="30"/>
        <w:spacing w:line="360" w:lineRule="auto"/>
        <w:ind w:left="134" w:leftChars="64" w:firstLine="0"/>
        <w:jc w:val="center"/>
        <w:outlineLvl w:val="9"/>
        <w:rPr>
          <w:rFonts w:hint="eastAsia" w:ascii="宋体" w:hAnsi="宋体" w:eastAsia="宋体" w:cs="宋体"/>
          <w:color w:val="auto"/>
          <w:highlight w:val="none"/>
          <w:lang w:eastAsia="zh-CN"/>
        </w:rPr>
      </w:pPr>
      <w:bookmarkStart w:id="78" w:name="_bookmark164"/>
      <w:bookmarkEnd w:id="78"/>
      <w:r>
        <w:rPr>
          <w:rFonts w:hint="eastAsia" w:ascii="宋体" w:hAnsi="宋体" w:eastAsia="宋体" w:cs="宋体"/>
          <w:color w:val="auto"/>
          <w:highlight w:val="none"/>
          <w:lang w:eastAsia="zh-CN"/>
        </w:rPr>
        <w:t>投标人基本情况表</w:t>
      </w:r>
    </w:p>
    <w:tbl>
      <w:tblPr>
        <w:tblStyle w:val="32"/>
        <w:tblW w:w="929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1"/>
        <w:gridCol w:w="1005"/>
        <w:gridCol w:w="2330"/>
        <w:gridCol w:w="1480"/>
        <w:gridCol w:w="2063"/>
      </w:tblGrid>
      <w:tr w14:paraId="4659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421" w:type="dxa"/>
            <w:vAlign w:val="center"/>
          </w:tcPr>
          <w:p w14:paraId="5241255C">
            <w:pPr>
              <w:pStyle w:val="31"/>
              <w:ind w:left="123" w:right="111"/>
              <w:jc w:val="center"/>
              <w:rPr>
                <w:rFonts w:hint="eastAsia" w:ascii="宋体" w:hAnsi="宋体" w:eastAsia="宋体" w:cs="宋体"/>
                <w:color w:val="auto"/>
                <w:sz w:val="24"/>
                <w:szCs w:val="24"/>
                <w:highlight w:val="none"/>
              </w:rPr>
            </w:pPr>
            <w:bookmarkStart w:id="79" w:name="_bookmark165"/>
            <w:bookmarkEnd w:id="79"/>
            <w:r>
              <w:rPr>
                <w:rFonts w:hint="eastAsia" w:ascii="宋体" w:hAnsi="宋体" w:eastAsia="宋体" w:cs="宋体"/>
                <w:color w:val="auto"/>
                <w:sz w:val="24"/>
                <w:szCs w:val="24"/>
                <w:highlight w:val="none"/>
              </w:rPr>
              <w:t>投标人名称</w:t>
            </w:r>
          </w:p>
        </w:tc>
        <w:tc>
          <w:tcPr>
            <w:tcW w:w="6878" w:type="dxa"/>
            <w:gridSpan w:val="4"/>
            <w:vAlign w:val="center"/>
          </w:tcPr>
          <w:p w14:paraId="5C0CEA43">
            <w:pPr>
              <w:pStyle w:val="31"/>
              <w:jc w:val="center"/>
              <w:rPr>
                <w:rFonts w:hint="eastAsia" w:ascii="宋体" w:hAnsi="宋体" w:eastAsia="宋体" w:cs="宋体"/>
                <w:color w:val="auto"/>
                <w:sz w:val="24"/>
                <w:szCs w:val="24"/>
                <w:highlight w:val="none"/>
              </w:rPr>
            </w:pPr>
          </w:p>
        </w:tc>
      </w:tr>
      <w:tr w14:paraId="5DCEF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21" w:type="dxa"/>
            <w:vAlign w:val="center"/>
          </w:tcPr>
          <w:p w14:paraId="4F6700D9">
            <w:pPr>
              <w:pStyle w:val="31"/>
              <w:ind w:left="120" w:right="1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3335" w:type="dxa"/>
            <w:gridSpan w:val="2"/>
            <w:vAlign w:val="center"/>
          </w:tcPr>
          <w:p w14:paraId="1DFCF11A">
            <w:pPr>
              <w:pStyle w:val="31"/>
              <w:jc w:val="center"/>
              <w:rPr>
                <w:rFonts w:hint="eastAsia" w:ascii="宋体" w:hAnsi="宋体" w:eastAsia="宋体" w:cs="宋体"/>
                <w:color w:val="auto"/>
                <w:sz w:val="24"/>
                <w:szCs w:val="24"/>
                <w:highlight w:val="none"/>
              </w:rPr>
            </w:pPr>
          </w:p>
        </w:tc>
        <w:tc>
          <w:tcPr>
            <w:tcW w:w="1480" w:type="dxa"/>
            <w:vAlign w:val="center"/>
          </w:tcPr>
          <w:p w14:paraId="1F3FCD51">
            <w:pPr>
              <w:pStyle w:val="31"/>
              <w:ind w:left="129" w:right="1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063" w:type="dxa"/>
            <w:vAlign w:val="center"/>
          </w:tcPr>
          <w:p w14:paraId="6F55EE81">
            <w:pPr>
              <w:pStyle w:val="31"/>
              <w:jc w:val="center"/>
              <w:rPr>
                <w:rFonts w:hint="eastAsia" w:ascii="宋体" w:hAnsi="宋体" w:eastAsia="宋体" w:cs="宋体"/>
                <w:color w:val="auto"/>
                <w:sz w:val="24"/>
                <w:szCs w:val="24"/>
                <w:highlight w:val="none"/>
              </w:rPr>
            </w:pPr>
          </w:p>
        </w:tc>
      </w:tr>
      <w:tr w14:paraId="1215E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21" w:type="dxa"/>
            <w:vAlign w:val="center"/>
          </w:tcPr>
          <w:p w14:paraId="328EE8A5">
            <w:pPr>
              <w:pStyle w:val="31"/>
              <w:ind w:left="120" w:right="1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335" w:type="dxa"/>
            <w:gridSpan w:val="2"/>
            <w:vAlign w:val="center"/>
          </w:tcPr>
          <w:p w14:paraId="70F78731">
            <w:pPr>
              <w:pStyle w:val="31"/>
              <w:jc w:val="center"/>
              <w:rPr>
                <w:rFonts w:hint="eastAsia" w:ascii="宋体" w:hAnsi="宋体" w:eastAsia="宋体" w:cs="宋体"/>
                <w:color w:val="auto"/>
                <w:sz w:val="24"/>
                <w:szCs w:val="24"/>
                <w:highlight w:val="none"/>
              </w:rPr>
            </w:pPr>
          </w:p>
        </w:tc>
        <w:tc>
          <w:tcPr>
            <w:tcW w:w="1480" w:type="dxa"/>
            <w:vAlign w:val="center"/>
          </w:tcPr>
          <w:p w14:paraId="6C4C03E6">
            <w:pPr>
              <w:pStyle w:val="31"/>
              <w:ind w:left="129" w:right="11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063" w:type="dxa"/>
            <w:vAlign w:val="center"/>
          </w:tcPr>
          <w:p w14:paraId="0A0372E1">
            <w:pPr>
              <w:pStyle w:val="31"/>
              <w:jc w:val="center"/>
              <w:rPr>
                <w:rFonts w:hint="eastAsia" w:ascii="宋体" w:hAnsi="宋体" w:eastAsia="宋体" w:cs="宋体"/>
                <w:color w:val="auto"/>
                <w:sz w:val="24"/>
                <w:szCs w:val="24"/>
                <w:highlight w:val="none"/>
              </w:rPr>
            </w:pPr>
          </w:p>
        </w:tc>
      </w:tr>
      <w:tr w14:paraId="6DF38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21" w:type="dxa"/>
            <w:vMerge w:val="restart"/>
            <w:vAlign w:val="center"/>
          </w:tcPr>
          <w:p w14:paraId="2EDBD275">
            <w:pPr>
              <w:pStyle w:val="31"/>
              <w:ind w:left="66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05" w:type="dxa"/>
            <w:vAlign w:val="center"/>
          </w:tcPr>
          <w:p w14:paraId="410E7718">
            <w:pPr>
              <w:pStyle w:val="31"/>
              <w:ind w:left="135" w:right="1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330" w:type="dxa"/>
            <w:vAlign w:val="center"/>
          </w:tcPr>
          <w:p w14:paraId="137B29F9">
            <w:pPr>
              <w:pStyle w:val="31"/>
              <w:jc w:val="center"/>
              <w:rPr>
                <w:rFonts w:hint="eastAsia" w:ascii="宋体" w:hAnsi="宋体" w:eastAsia="宋体" w:cs="宋体"/>
                <w:color w:val="auto"/>
                <w:sz w:val="24"/>
                <w:szCs w:val="24"/>
                <w:highlight w:val="none"/>
              </w:rPr>
            </w:pPr>
          </w:p>
        </w:tc>
        <w:tc>
          <w:tcPr>
            <w:tcW w:w="1480" w:type="dxa"/>
            <w:vAlign w:val="center"/>
          </w:tcPr>
          <w:p w14:paraId="77630617">
            <w:pPr>
              <w:pStyle w:val="31"/>
              <w:ind w:left="129" w:right="1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63" w:type="dxa"/>
            <w:vAlign w:val="center"/>
          </w:tcPr>
          <w:p w14:paraId="44BC08A6">
            <w:pPr>
              <w:pStyle w:val="31"/>
              <w:jc w:val="center"/>
              <w:rPr>
                <w:rFonts w:hint="eastAsia" w:ascii="宋体" w:hAnsi="宋体" w:eastAsia="宋体" w:cs="宋体"/>
                <w:color w:val="auto"/>
                <w:sz w:val="24"/>
                <w:szCs w:val="24"/>
                <w:highlight w:val="none"/>
              </w:rPr>
            </w:pPr>
          </w:p>
        </w:tc>
      </w:tr>
      <w:tr w14:paraId="015F9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421" w:type="dxa"/>
            <w:vMerge w:val="continue"/>
            <w:tcBorders>
              <w:top w:val="nil"/>
            </w:tcBorders>
            <w:vAlign w:val="center"/>
          </w:tcPr>
          <w:p w14:paraId="0D4B611F">
            <w:pPr>
              <w:jc w:val="center"/>
              <w:rPr>
                <w:rFonts w:hint="eastAsia" w:ascii="宋体" w:hAnsi="宋体" w:eastAsia="宋体" w:cs="宋体"/>
                <w:color w:val="auto"/>
                <w:sz w:val="24"/>
                <w:szCs w:val="24"/>
                <w:highlight w:val="none"/>
              </w:rPr>
            </w:pPr>
          </w:p>
        </w:tc>
        <w:tc>
          <w:tcPr>
            <w:tcW w:w="1005" w:type="dxa"/>
            <w:vAlign w:val="center"/>
          </w:tcPr>
          <w:p w14:paraId="560CB883">
            <w:pPr>
              <w:pStyle w:val="31"/>
              <w:ind w:left="135" w:right="1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2330" w:type="dxa"/>
            <w:vAlign w:val="center"/>
          </w:tcPr>
          <w:p w14:paraId="2E2E747F">
            <w:pPr>
              <w:pStyle w:val="31"/>
              <w:jc w:val="center"/>
              <w:rPr>
                <w:rFonts w:hint="eastAsia" w:ascii="宋体" w:hAnsi="宋体" w:eastAsia="宋体" w:cs="宋体"/>
                <w:color w:val="auto"/>
                <w:sz w:val="24"/>
                <w:szCs w:val="24"/>
                <w:highlight w:val="none"/>
              </w:rPr>
            </w:pPr>
          </w:p>
        </w:tc>
        <w:tc>
          <w:tcPr>
            <w:tcW w:w="1480" w:type="dxa"/>
            <w:vAlign w:val="center"/>
          </w:tcPr>
          <w:p w14:paraId="274DFFD7">
            <w:pPr>
              <w:pStyle w:val="31"/>
              <w:ind w:left="129" w:right="1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063" w:type="dxa"/>
            <w:vAlign w:val="center"/>
          </w:tcPr>
          <w:p w14:paraId="71034459">
            <w:pPr>
              <w:pStyle w:val="31"/>
              <w:jc w:val="center"/>
              <w:rPr>
                <w:rFonts w:hint="eastAsia" w:ascii="宋体" w:hAnsi="宋体" w:eastAsia="宋体" w:cs="宋体"/>
                <w:color w:val="auto"/>
                <w:sz w:val="24"/>
                <w:szCs w:val="24"/>
                <w:highlight w:val="none"/>
              </w:rPr>
            </w:pPr>
          </w:p>
        </w:tc>
      </w:tr>
      <w:tr w14:paraId="6AB72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421" w:type="dxa"/>
            <w:vAlign w:val="center"/>
          </w:tcPr>
          <w:p w14:paraId="0D0264A2">
            <w:pPr>
              <w:pStyle w:val="31"/>
              <w:ind w:left="123" w:right="11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7DBBE35A">
            <w:pPr>
              <w:pStyle w:val="31"/>
              <w:ind w:left="18" w:right="11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（单位负责人）</w:t>
            </w:r>
          </w:p>
        </w:tc>
        <w:tc>
          <w:tcPr>
            <w:tcW w:w="1005" w:type="dxa"/>
            <w:vAlign w:val="center"/>
          </w:tcPr>
          <w:p w14:paraId="305D70DE">
            <w:pPr>
              <w:pStyle w:val="31"/>
              <w:ind w:left="135" w:right="12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2330" w:type="dxa"/>
            <w:vAlign w:val="center"/>
          </w:tcPr>
          <w:p w14:paraId="6A56AB89">
            <w:pPr>
              <w:pStyle w:val="31"/>
              <w:jc w:val="center"/>
              <w:rPr>
                <w:rFonts w:hint="eastAsia" w:ascii="宋体" w:hAnsi="宋体" w:eastAsia="宋体" w:cs="宋体"/>
                <w:color w:val="auto"/>
                <w:sz w:val="24"/>
                <w:szCs w:val="24"/>
                <w:highlight w:val="none"/>
              </w:rPr>
            </w:pPr>
          </w:p>
        </w:tc>
        <w:tc>
          <w:tcPr>
            <w:tcW w:w="1480" w:type="dxa"/>
            <w:vAlign w:val="center"/>
          </w:tcPr>
          <w:p w14:paraId="58C97636">
            <w:pPr>
              <w:pStyle w:val="31"/>
              <w:ind w:left="129" w:right="11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2063" w:type="dxa"/>
            <w:vAlign w:val="center"/>
          </w:tcPr>
          <w:p w14:paraId="49D8F990">
            <w:pPr>
              <w:pStyle w:val="31"/>
              <w:jc w:val="center"/>
              <w:rPr>
                <w:rFonts w:hint="eastAsia" w:ascii="宋体" w:hAnsi="宋体" w:eastAsia="宋体" w:cs="宋体"/>
                <w:color w:val="auto"/>
                <w:sz w:val="24"/>
                <w:szCs w:val="24"/>
                <w:highlight w:val="none"/>
              </w:rPr>
            </w:pPr>
          </w:p>
        </w:tc>
      </w:tr>
      <w:tr w14:paraId="1BB9F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421" w:type="dxa"/>
            <w:vAlign w:val="center"/>
          </w:tcPr>
          <w:p w14:paraId="761DC8FD">
            <w:pPr>
              <w:pStyle w:val="31"/>
              <w:ind w:left="123" w:right="1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6878" w:type="dxa"/>
            <w:gridSpan w:val="4"/>
            <w:vAlign w:val="center"/>
          </w:tcPr>
          <w:p w14:paraId="761D9F91">
            <w:pPr>
              <w:pStyle w:val="31"/>
              <w:jc w:val="center"/>
              <w:rPr>
                <w:rFonts w:hint="eastAsia" w:ascii="宋体" w:hAnsi="宋体" w:eastAsia="宋体" w:cs="宋体"/>
                <w:color w:val="auto"/>
                <w:sz w:val="24"/>
                <w:szCs w:val="24"/>
                <w:highlight w:val="none"/>
              </w:rPr>
            </w:pPr>
          </w:p>
        </w:tc>
      </w:tr>
      <w:tr w14:paraId="6D3D0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421" w:type="dxa"/>
            <w:vAlign w:val="center"/>
          </w:tcPr>
          <w:p w14:paraId="62863317">
            <w:pPr>
              <w:pStyle w:val="31"/>
              <w:ind w:left="123" w:right="1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6878" w:type="dxa"/>
            <w:gridSpan w:val="4"/>
            <w:vAlign w:val="center"/>
          </w:tcPr>
          <w:p w14:paraId="096255CF">
            <w:pPr>
              <w:pStyle w:val="31"/>
              <w:jc w:val="center"/>
              <w:rPr>
                <w:rFonts w:hint="eastAsia" w:ascii="宋体" w:hAnsi="宋体" w:eastAsia="宋体" w:cs="宋体"/>
                <w:color w:val="auto"/>
                <w:sz w:val="24"/>
                <w:szCs w:val="24"/>
                <w:highlight w:val="none"/>
              </w:rPr>
            </w:pPr>
          </w:p>
        </w:tc>
      </w:tr>
      <w:tr w14:paraId="470C1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21" w:type="dxa"/>
            <w:vAlign w:val="center"/>
          </w:tcPr>
          <w:p w14:paraId="1E064386">
            <w:pPr>
              <w:pStyle w:val="31"/>
              <w:ind w:left="123" w:right="1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投标设备制造商名称</w:t>
            </w:r>
          </w:p>
        </w:tc>
        <w:tc>
          <w:tcPr>
            <w:tcW w:w="6878" w:type="dxa"/>
            <w:gridSpan w:val="4"/>
            <w:vAlign w:val="center"/>
          </w:tcPr>
          <w:p w14:paraId="62BFA333">
            <w:pPr>
              <w:pStyle w:val="31"/>
              <w:jc w:val="center"/>
              <w:rPr>
                <w:rFonts w:hint="eastAsia" w:ascii="宋体" w:hAnsi="宋体" w:eastAsia="宋体" w:cs="宋体"/>
                <w:color w:val="auto"/>
                <w:sz w:val="24"/>
                <w:szCs w:val="24"/>
                <w:highlight w:val="none"/>
              </w:rPr>
            </w:pPr>
          </w:p>
        </w:tc>
      </w:tr>
      <w:tr w14:paraId="63CB2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421" w:type="dxa"/>
            <w:vAlign w:val="center"/>
          </w:tcPr>
          <w:p w14:paraId="614C43B7">
            <w:pPr>
              <w:pStyle w:val="31"/>
              <w:ind w:left="120" w:right="11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78" w:type="dxa"/>
            <w:gridSpan w:val="4"/>
            <w:vAlign w:val="center"/>
          </w:tcPr>
          <w:p w14:paraId="1D86D531">
            <w:pPr>
              <w:pStyle w:val="31"/>
              <w:jc w:val="center"/>
              <w:rPr>
                <w:rFonts w:hint="eastAsia" w:ascii="宋体" w:hAnsi="宋体" w:eastAsia="宋体" w:cs="宋体"/>
                <w:color w:val="auto"/>
                <w:sz w:val="24"/>
                <w:szCs w:val="24"/>
                <w:highlight w:val="none"/>
              </w:rPr>
            </w:pPr>
          </w:p>
        </w:tc>
      </w:tr>
    </w:tbl>
    <w:p w14:paraId="665658ED">
      <w:pPr>
        <w:pStyle w:val="30"/>
        <w:spacing w:line="363" w:lineRule="exact"/>
        <w:ind w:left="237" w:firstLine="0"/>
        <w:outlineLvl w:val="9"/>
        <w:rPr>
          <w:rFonts w:hint="eastAsia" w:ascii="宋体" w:hAnsi="宋体" w:eastAsia="宋体" w:cs="宋体"/>
          <w:color w:val="auto"/>
          <w:highlight w:val="none"/>
        </w:rPr>
      </w:pPr>
    </w:p>
    <w:p w14:paraId="3D742661">
      <w:pP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p>
    <w:p w14:paraId="6AF24BF9">
      <w:pPr>
        <w:keepNext w:val="0"/>
        <w:keepLines w:val="0"/>
        <w:pageBreakBefore w:val="0"/>
        <w:kinsoku/>
        <w:wordWrap/>
        <w:overflowPunct/>
        <w:topLinePunct w:val="0"/>
        <w:autoSpaceDE/>
        <w:autoSpaceDN/>
        <w:bidi w:val="0"/>
        <w:adjustRightInd/>
        <w:snapToGrid/>
        <w:spacing w:line="554" w:lineRule="exact"/>
        <w:ind w:firstLine="562" w:firstLineChars="200"/>
        <w:jc w:val="center"/>
        <w:textAlignment w:val="auto"/>
        <w:outlineLvl w:val="3"/>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）满足《中华人民共和国政府采购法》第二十二条规定：</w:t>
      </w:r>
    </w:p>
    <w:p w14:paraId="5CF22901">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1.投标人具有独立承担民事责任的能力（提供营业执照扫描件）；</w:t>
      </w:r>
    </w:p>
    <w:p w14:paraId="02C9FDD3">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具有良好的商业信誉和健全的财务会计制度（提供202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年或202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年度经第三方审计的审计报告或财务报表或相关财务情况说明，成立不满1年的，提供自成立至今财务报表或相关财务情况说明。投标人可根据自身情况提供上述任意一种证明材料）；</w:t>
      </w:r>
    </w:p>
    <w:p w14:paraId="6008DF07">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投标人具有依法缴纳税收的良好记录（须提供缴税所属时间在</w:t>
      </w:r>
      <w:r>
        <w:rPr>
          <w:rFonts w:hint="eastAsia" w:cs="宋体"/>
          <w:color w:val="auto"/>
          <w:sz w:val="24"/>
          <w:szCs w:val="24"/>
          <w:highlight w:val="none"/>
          <w:lang w:eastAsia="zh-CN"/>
        </w:rPr>
        <w:t>2025年01月</w:t>
      </w:r>
      <w:r>
        <w:rPr>
          <w:rFonts w:hint="eastAsia" w:ascii="宋体" w:hAnsi="宋体" w:eastAsia="宋体" w:cs="宋体"/>
          <w:color w:val="auto"/>
          <w:sz w:val="24"/>
          <w:szCs w:val="24"/>
          <w:highlight w:val="none"/>
          <w:lang w:eastAsia="zh-CN"/>
        </w:rPr>
        <w:t>至本项目投标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77BDFDA3">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投标人具有依法缴纳社会保障资金的良好记录（须提供缴费所属时间在</w:t>
      </w:r>
      <w:r>
        <w:rPr>
          <w:rFonts w:hint="eastAsia" w:cs="宋体"/>
          <w:color w:val="auto"/>
          <w:sz w:val="24"/>
          <w:szCs w:val="24"/>
          <w:highlight w:val="none"/>
          <w:lang w:eastAsia="zh-CN"/>
        </w:rPr>
        <w:t>2025年01月</w:t>
      </w:r>
      <w:r>
        <w:rPr>
          <w:rFonts w:hint="eastAsia" w:ascii="宋体" w:hAnsi="宋体" w:eastAsia="宋体" w:cs="宋体"/>
          <w:color w:val="auto"/>
          <w:sz w:val="24"/>
          <w:szCs w:val="24"/>
          <w:highlight w:val="none"/>
          <w:lang w:eastAsia="zh-CN"/>
        </w:rPr>
        <w:t>至本项目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提交截止时间前任意1个月的社会保险费缴款书或银行电子缴税（费）凭证或社保管理部门出具的有效的缴款证明，依法免缴的，应提供依法免缴的相关证明文件，新成立的企业（未满3个月）无须提供证明材料）；</w:t>
      </w:r>
    </w:p>
    <w:p w14:paraId="3113DE7B">
      <w:pPr>
        <w:keepNext w:val="0"/>
        <w:keepLines w:val="0"/>
        <w:pageBreakBefore w:val="0"/>
        <w:kinsoku/>
        <w:wordWrap/>
        <w:overflowPunct/>
        <w:topLinePunct w:val="0"/>
        <w:autoSpaceDE/>
        <w:autoSpaceDN/>
        <w:bidi w:val="0"/>
        <w:adjustRightInd/>
        <w:snapToGrid/>
        <w:spacing w:line="554" w:lineRule="exact"/>
        <w:textAlignment w:val="auto"/>
        <w:rPr>
          <w:rFonts w:hint="eastAsia" w:ascii="宋体" w:hAnsi="宋体" w:eastAsia="宋体" w:cs="宋体"/>
          <w:color w:val="auto"/>
          <w:sz w:val="24"/>
          <w:szCs w:val="24"/>
          <w:highlight w:val="none"/>
          <w:lang w:eastAsia="zh-CN"/>
        </w:rPr>
      </w:pPr>
    </w:p>
    <w:p w14:paraId="08DD3EE2">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投标人具有履行合同所必需的设备和专业技术能力（投标人提供书面声明或证明材料）；</w:t>
      </w:r>
    </w:p>
    <w:p w14:paraId="625BA703">
      <w:pPr>
        <w:keepNext w:val="0"/>
        <w:keepLines w:val="0"/>
        <w:pageBreakBefore w:val="0"/>
        <w:kinsoku/>
        <w:wordWrap/>
        <w:overflowPunct/>
        <w:topLinePunct w:val="0"/>
        <w:autoSpaceDE/>
        <w:autoSpaceDN/>
        <w:bidi w:val="0"/>
        <w:adjustRightInd/>
        <w:snapToGrid/>
        <w:spacing w:line="554" w:lineRule="exact"/>
        <w:textAlignment w:val="auto"/>
        <w:rPr>
          <w:rFonts w:hint="eastAsia" w:ascii="宋体" w:hAnsi="宋体" w:eastAsia="宋体" w:cs="宋体"/>
          <w:color w:val="auto"/>
          <w:sz w:val="24"/>
          <w:szCs w:val="24"/>
          <w:highlight w:val="none"/>
          <w:lang w:eastAsia="zh-CN"/>
        </w:rPr>
      </w:pPr>
    </w:p>
    <w:p w14:paraId="4424750A">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6.投标人</w:t>
      </w:r>
      <w:r>
        <w:rPr>
          <w:rFonts w:hint="eastAsia" w:ascii="宋体" w:hAnsi="宋体" w:eastAsia="宋体" w:cs="宋体"/>
          <w:color w:val="auto"/>
          <w:sz w:val="24"/>
          <w:szCs w:val="24"/>
          <w:highlight w:val="none"/>
          <w:lang w:eastAsia="zh-CN"/>
        </w:rPr>
        <w:t>参加政府采购活动前三年内在经营活动中没有重大违法记录的书面声明（重大违法记录，是指供应商因违法经营受到刑事处罚或者责令停产停业、吊销许可证或者执照、较大数额罚款等行政处罚。）；</w:t>
      </w:r>
    </w:p>
    <w:p w14:paraId="084EAA85">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eastAsia="zh-CN"/>
        </w:rPr>
      </w:pPr>
    </w:p>
    <w:p w14:paraId="27B96690">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eastAsia="zh-CN"/>
        </w:rPr>
      </w:pPr>
    </w:p>
    <w:p w14:paraId="1A5864A8">
      <w:pPr>
        <w:rPr>
          <w:rFonts w:hint="eastAsia" w:ascii="宋体" w:hAnsi="宋体" w:eastAsia="宋体" w:cs="宋体"/>
          <w:color w:val="auto"/>
          <w:sz w:val="24"/>
          <w:szCs w:val="24"/>
          <w:highlight w:val="none"/>
          <w:lang w:eastAsia="zh-CN"/>
        </w:rPr>
      </w:pPr>
    </w:p>
    <w:p w14:paraId="29850081">
      <w:pPr>
        <w:keepNext w:val="0"/>
        <w:keepLines w:val="0"/>
        <w:pageBreakBefore w:val="0"/>
        <w:kinsoku/>
        <w:wordWrap/>
        <w:overflowPunct/>
        <w:topLinePunct w:val="0"/>
        <w:autoSpaceDE/>
        <w:autoSpaceDN/>
        <w:bidi w:val="0"/>
        <w:adjustRightInd/>
        <w:snapToGrid/>
        <w:spacing w:line="554" w:lineRule="exact"/>
        <w:ind w:firstLine="562" w:firstLineChars="200"/>
        <w:jc w:val="center"/>
        <w:textAlignment w:val="auto"/>
        <w:outlineLvl w:val="3"/>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本项目的特定资格要求：</w:t>
      </w:r>
    </w:p>
    <w:p w14:paraId="11BE90A8">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为代理商或经销商的，须提供医疗器械经营许可证/备案，所投产品制造商的医疗器械生产许可证（制造商工商注册地在中华人民共和国境外的，不做此要求）、所投产品的医疗器械注册证及附件；投标人为制造商的，须提供医疗器械生产许可证（制造商工商注册地在中华人民共和国境外的，不做此要求）、所投产品的医疗器械注册证及附件；医疗器械生产或经营许可证的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注：提供的证件均在有效期范围内。</w:t>
      </w:r>
    </w:p>
    <w:p w14:paraId="3B2E6A80">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val="en-US" w:eastAsia="zh-CN"/>
        </w:rPr>
      </w:pPr>
    </w:p>
    <w:p w14:paraId="1997470E">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律、行政法规规定的其他条件：根据财库〔2016〕125号文件《财政部关于在政府采购活动中查询及使用信用记录有关问题的通知》规定，投标人未被列入“信用中国”网站（www.creditchina.gov.cn）“失信被执行人、政府采购严重违法失信行为记录名单、重大税收违法失信主体”及中国政府采购网（www.ccgp.gov.cn）“政府采购严重违法失信行为信息记录”。</w:t>
      </w:r>
    </w:p>
    <w:p w14:paraId="37CC5DDD">
      <w:pPr>
        <w:keepNext w:val="0"/>
        <w:keepLines w:val="0"/>
        <w:pageBreakBefore w:val="0"/>
        <w:kinsoku/>
        <w:wordWrap/>
        <w:overflowPunct/>
        <w:topLinePunct w:val="0"/>
        <w:autoSpaceDE/>
        <w:autoSpaceDN/>
        <w:bidi w:val="0"/>
        <w:adjustRightInd/>
        <w:snapToGrid/>
        <w:spacing w:line="554" w:lineRule="exact"/>
        <w:textAlignment w:val="auto"/>
        <w:rPr>
          <w:rFonts w:hint="eastAsia" w:ascii="宋体" w:hAnsi="宋体" w:eastAsia="宋体" w:cs="宋体"/>
          <w:color w:val="auto"/>
          <w:sz w:val="24"/>
          <w:szCs w:val="24"/>
          <w:highlight w:val="none"/>
          <w:lang w:val="en-US" w:eastAsia="zh-CN"/>
        </w:rPr>
      </w:pPr>
    </w:p>
    <w:p w14:paraId="26D80A58">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3.根据《中华人民共和国政府采购法实施条例》第十八条规定，单位负责人为同一人或者存在直接控股、管理关系的不同供应商，不得参加同一合同项下的采购活动（提供书面声明即可）。</w:t>
      </w:r>
    </w:p>
    <w:p w14:paraId="6ECBE2D6">
      <w:pPr>
        <w:keepNext w:val="0"/>
        <w:keepLines w:val="0"/>
        <w:pageBreakBefore w:val="0"/>
        <w:kinsoku/>
        <w:wordWrap/>
        <w:overflowPunct/>
        <w:topLinePunct w:val="0"/>
        <w:autoSpaceDE/>
        <w:autoSpaceDN/>
        <w:bidi w:val="0"/>
        <w:adjustRightInd/>
        <w:snapToGrid/>
        <w:spacing w:line="554" w:lineRule="exact"/>
        <w:textAlignment w:val="auto"/>
        <w:rPr>
          <w:rFonts w:hint="eastAsia" w:ascii="宋体" w:hAnsi="宋体" w:eastAsia="宋体" w:cs="宋体"/>
          <w:color w:val="auto"/>
          <w:sz w:val="24"/>
          <w:szCs w:val="24"/>
          <w:highlight w:val="none"/>
          <w:lang w:val="en-US" w:eastAsia="zh-CN"/>
        </w:rPr>
      </w:pPr>
    </w:p>
    <w:p w14:paraId="233396A0">
      <w:pPr>
        <w:keepNext w:val="0"/>
        <w:keepLines w:val="0"/>
        <w:pageBreakBefore w:val="0"/>
        <w:kinsoku/>
        <w:wordWrap/>
        <w:overflowPunct/>
        <w:topLinePunct w:val="0"/>
        <w:autoSpaceDE/>
        <w:autoSpaceDN/>
        <w:bidi w:val="0"/>
        <w:adjustRightInd/>
        <w:snapToGrid/>
        <w:spacing w:line="554" w:lineRule="exact"/>
        <w:ind w:firstLine="480" w:firstLineChars="200"/>
        <w:textAlignment w:val="auto"/>
        <w:rPr>
          <w:rFonts w:hint="eastAsia" w:ascii="宋体" w:hAnsi="宋体" w:eastAsia="宋体" w:cs="宋体"/>
          <w:b/>
          <w:bCs/>
          <w:color w:val="auto"/>
          <w:sz w:val="32"/>
          <w:szCs w:val="32"/>
          <w:highlight w:val="none"/>
          <w:lang w:val="en-US" w:eastAsia="zh-CN"/>
        </w:rPr>
        <w:sectPr>
          <w:headerReference r:id="rId8" w:type="default"/>
          <w:footerReference r:id="rId9" w:type="default"/>
          <w:pgSz w:w="12240" w:h="15840"/>
          <w:pgMar w:top="1480" w:right="1720" w:bottom="1120" w:left="1700" w:header="0" w:footer="841" w:gutter="0"/>
          <w:cols w:space="720" w:num="1"/>
        </w:sectPr>
      </w:pPr>
      <w:r>
        <w:rPr>
          <w:rFonts w:hint="eastAsia" w:ascii="宋体" w:hAnsi="宋体" w:eastAsia="宋体" w:cs="宋体"/>
          <w:color w:val="auto"/>
          <w:sz w:val="24"/>
          <w:szCs w:val="24"/>
          <w:highlight w:val="none"/>
          <w:lang w:val="en-US" w:eastAsia="zh-CN"/>
        </w:rPr>
        <w:t>4.本项目不接受联合体投标。（提供书面声明）。</w:t>
      </w:r>
      <w:bookmarkStart w:id="80" w:name="_bookmark161"/>
      <w:bookmarkEnd w:id="80"/>
      <w:bookmarkStart w:id="81" w:name="_bookmark159"/>
      <w:bookmarkEnd w:id="81"/>
      <w:bookmarkStart w:id="82" w:name="_bookmark160"/>
      <w:bookmarkEnd w:id="82"/>
    </w:p>
    <w:p w14:paraId="2901553D">
      <w:pPr>
        <w:jc w:val="center"/>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报价部分</w:t>
      </w:r>
    </w:p>
    <w:p w14:paraId="5E9905BC">
      <w:pPr>
        <w:pStyle w:val="29"/>
        <w:spacing w:line="443" w:lineRule="exact"/>
        <w:ind w:left="0" w:right="31" w:firstLine="0"/>
        <w:jc w:val="center"/>
        <w:outlineLvl w:val="3"/>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分项报价表</w:t>
      </w:r>
    </w:p>
    <w:p w14:paraId="3AB26BBA">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项目名称：   </w:t>
      </w:r>
    </w:p>
    <w:p w14:paraId="59E6BCCD">
      <w:pPr>
        <w:pStyle w:val="2"/>
        <w:rPr>
          <w:rFonts w:hint="eastAsia"/>
        </w:rPr>
      </w:pPr>
    </w:p>
    <w:p w14:paraId="2A5416D7">
      <w:pPr>
        <w:pStyle w:val="7"/>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项目编号：</w:t>
      </w:r>
    </w:p>
    <w:p w14:paraId="221F176D">
      <w:pPr>
        <w:rPr>
          <w:rFonts w:hint="eastAsia"/>
          <w:lang w:eastAsia="zh-CN"/>
        </w:rPr>
      </w:pPr>
    </w:p>
    <w:tbl>
      <w:tblPr>
        <w:tblStyle w:val="17"/>
        <w:tblW w:w="141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2162"/>
        <w:gridCol w:w="2594"/>
        <w:gridCol w:w="1868"/>
        <w:gridCol w:w="1039"/>
        <w:gridCol w:w="1103"/>
        <w:gridCol w:w="1863"/>
        <w:gridCol w:w="1977"/>
        <w:gridCol w:w="826"/>
      </w:tblGrid>
      <w:tr w14:paraId="56C1E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8" w:hRule="atLeast"/>
          <w:tblHeader/>
        </w:trPr>
        <w:tc>
          <w:tcPr>
            <w:tcW w:w="725" w:type="dxa"/>
            <w:vAlign w:val="center"/>
          </w:tcPr>
          <w:p w14:paraId="345FB530">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162" w:type="dxa"/>
            <w:vAlign w:val="center"/>
          </w:tcPr>
          <w:p w14:paraId="0FC21F15">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产品名称</w:t>
            </w:r>
          </w:p>
        </w:tc>
        <w:tc>
          <w:tcPr>
            <w:tcW w:w="2594" w:type="dxa"/>
            <w:vAlign w:val="center"/>
          </w:tcPr>
          <w:p w14:paraId="4B65D6EE">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生产厂家</w:t>
            </w:r>
          </w:p>
        </w:tc>
        <w:tc>
          <w:tcPr>
            <w:tcW w:w="1868" w:type="dxa"/>
            <w:vAlign w:val="center"/>
          </w:tcPr>
          <w:p w14:paraId="0F1E4403">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品牌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规格</w:t>
            </w:r>
            <w:r>
              <w:rPr>
                <w:rFonts w:hint="eastAsia" w:ascii="宋体" w:hAnsi="宋体" w:eastAsia="宋体" w:cs="宋体"/>
                <w:b/>
                <w:bCs/>
                <w:color w:val="auto"/>
                <w:sz w:val="21"/>
                <w:szCs w:val="21"/>
                <w:highlight w:val="none"/>
              </w:rPr>
              <w:t>型号</w:t>
            </w:r>
          </w:p>
        </w:tc>
        <w:tc>
          <w:tcPr>
            <w:tcW w:w="1039" w:type="dxa"/>
            <w:vAlign w:val="center"/>
          </w:tcPr>
          <w:p w14:paraId="7DC02836">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03" w:type="dxa"/>
            <w:vAlign w:val="center"/>
          </w:tcPr>
          <w:p w14:paraId="3E2CC6AE">
            <w:pPr>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单位</w:t>
            </w:r>
          </w:p>
        </w:tc>
        <w:tc>
          <w:tcPr>
            <w:tcW w:w="1863" w:type="dxa"/>
            <w:vAlign w:val="center"/>
          </w:tcPr>
          <w:p w14:paraId="5FADD68E">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单价（元）</w:t>
            </w:r>
          </w:p>
        </w:tc>
        <w:tc>
          <w:tcPr>
            <w:tcW w:w="1977" w:type="dxa"/>
            <w:vAlign w:val="center"/>
          </w:tcPr>
          <w:p w14:paraId="00308279">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小计（元）</w:t>
            </w:r>
          </w:p>
        </w:tc>
        <w:tc>
          <w:tcPr>
            <w:tcW w:w="826" w:type="dxa"/>
            <w:vAlign w:val="center"/>
          </w:tcPr>
          <w:p w14:paraId="457C0072">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0DB3A4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25" w:type="dxa"/>
            <w:vAlign w:val="center"/>
          </w:tcPr>
          <w:p w14:paraId="5B9E76AE">
            <w:pPr>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p>
        </w:tc>
        <w:tc>
          <w:tcPr>
            <w:tcW w:w="2162" w:type="dxa"/>
            <w:vAlign w:val="center"/>
          </w:tcPr>
          <w:p w14:paraId="47587C1F">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b/>
                <w:bCs/>
                <w:color w:val="auto"/>
                <w:sz w:val="21"/>
                <w:szCs w:val="21"/>
                <w:highlight w:val="none"/>
              </w:rPr>
            </w:pPr>
          </w:p>
          <w:p w14:paraId="21325DC3">
            <w:pPr>
              <w:pStyle w:val="2"/>
              <w:rPr>
                <w:rFonts w:hint="eastAsia"/>
              </w:rPr>
            </w:pPr>
          </w:p>
        </w:tc>
        <w:tc>
          <w:tcPr>
            <w:tcW w:w="2594" w:type="dxa"/>
            <w:vAlign w:val="center"/>
          </w:tcPr>
          <w:p w14:paraId="3949B94E">
            <w:pPr>
              <w:spacing w:line="276" w:lineRule="auto"/>
              <w:jc w:val="center"/>
              <w:rPr>
                <w:rFonts w:hint="eastAsia" w:ascii="宋体" w:hAnsi="宋体" w:eastAsia="宋体" w:cs="宋体"/>
                <w:color w:val="auto"/>
                <w:sz w:val="21"/>
                <w:szCs w:val="21"/>
                <w:highlight w:val="none"/>
              </w:rPr>
            </w:pPr>
          </w:p>
        </w:tc>
        <w:tc>
          <w:tcPr>
            <w:tcW w:w="1868" w:type="dxa"/>
            <w:vAlign w:val="center"/>
          </w:tcPr>
          <w:p w14:paraId="78BA8BF9">
            <w:pPr>
              <w:spacing w:line="276" w:lineRule="auto"/>
              <w:jc w:val="center"/>
              <w:rPr>
                <w:rFonts w:hint="eastAsia" w:ascii="宋体" w:hAnsi="宋体" w:eastAsia="宋体" w:cs="宋体"/>
                <w:color w:val="auto"/>
                <w:sz w:val="21"/>
                <w:szCs w:val="21"/>
                <w:highlight w:val="none"/>
              </w:rPr>
            </w:pPr>
          </w:p>
        </w:tc>
        <w:tc>
          <w:tcPr>
            <w:tcW w:w="1039" w:type="dxa"/>
            <w:vAlign w:val="center"/>
          </w:tcPr>
          <w:p w14:paraId="5A11320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103" w:type="dxa"/>
            <w:vAlign w:val="center"/>
          </w:tcPr>
          <w:p w14:paraId="09F57491">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863" w:type="dxa"/>
            <w:vAlign w:val="center"/>
          </w:tcPr>
          <w:p w14:paraId="3F431AB9">
            <w:pPr>
              <w:spacing w:line="276" w:lineRule="auto"/>
              <w:jc w:val="center"/>
              <w:rPr>
                <w:rFonts w:hint="eastAsia" w:ascii="宋体" w:hAnsi="宋体" w:eastAsia="宋体" w:cs="宋体"/>
                <w:color w:val="auto"/>
                <w:sz w:val="21"/>
                <w:szCs w:val="21"/>
                <w:highlight w:val="none"/>
              </w:rPr>
            </w:pPr>
          </w:p>
        </w:tc>
        <w:tc>
          <w:tcPr>
            <w:tcW w:w="1977" w:type="dxa"/>
            <w:vAlign w:val="center"/>
          </w:tcPr>
          <w:p w14:paraId="1BE28BFC">
            <w:pPr>
              <w:spacing w:line="276" w:lineRule="auto"/>
              <w:jc w:val="center"/>
              <w:rPr>
                <w:rFonts w:hint="eastAsia" w:ascii="宋体" w:hAnsi="宋体" w:eastAsia="宋体" w:cs="宋体"/>
                <w:color w:val="auto"/>
                <w:sz w:val="21"/>
                <w:szCs w:val="21"/>
                <w:highlight w:val="none"/>
              </w:rPr>
            </w:pPr>
          </w:p>
        </w:tc>
        <w:tc>
          <w:tcPr>
            <w:tcW w:w="826" w:type="dxa"/>
            <w:vAlign w:val="center"/>
          </w:tcPr>
          <w:p w14:paraId="5F4BB44B">
            <w:pPr>
              <w:spacing w:line="276" w:lineRule="auto"/>
              <w:jc w:val="center"/>
              <w:rPr>
                <w:rFonts w:hint="eastAsia" w:ascii="宋体" w:hAnsi="宋体" w:eastAsia="宋体" w:cs="宋体"/>
                <w:color w:val="auto"/>
                <w:sz w:val="21"/>
                <w:szCs w:val="21"/>
                <w:highlight w:val="none"/>
              </w:rPr>
            </w:pPr>
          </w:p>
        </w:tc>
      </w:tr>
      <w:tr w14:paraId="5DA91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25" w:type="dxa"/>
            <w:vAlign w:val="center"/>
          </w:tcPr>
          <w:p w14:paraId="211118BC">
            <w:pPr>
              <w:spacing w:line="276"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2162" w:type="dxa"/>
            <w:vAlign w:val="center"/>
          </w:tcPr>
          <w:p w14:paraId="0956031D">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b/>
                <w:bCs/>
                <w:color w:val="auto"/>
                <w:sz w:val="21"/>
                <w:szCs w:val="21"/>
                <w:highlight w:val="none"/>
              </w:rPr>
            </w:pPr>
          </w:p>
          <w:p w14:paraId="7BD03759">
            <w:pPr>
              <w:pStyle w:val="2"/>
              <w:rPr>
                <w:rFonts w:hint="eastAsia"/>
              </w:rPr>
            </w:pPr>
          </w:p>
        </w:tc>
        <w:tc>
          <w:tcPr>
            <w:tcW w:w="2594" w:type="dxa"/>
            <w:vAlign w:val="center"/>
          </w:tcPr>
          <w:p w14:paraId="6CCADA97">
            <w:pPr>
              <w:spacing w:line="276" w:lineRule="auto"/>
              <w:jc w:val="center"/>
              <w:rPr>
                <w:rFonts w:hint="eastAsia" w:ascii="宋体" w:hAnsi="宋体" w:eastAsia="宋体" w:cs="宋体"/>
                <w:color w:val="auto"/>
                <w:sz w:val="21"/>
                <w:szCs w:val="21"/>
                <w:highlight w:val="none"/>
              </w:rPr>
            </w:pPr>
          </w:p>
        </w:tc>
        <w:tc>
          <w:tcPr>
            <w:tcW w:w="1868" w:type="dxa"/>
            <w:vAlign w:val="center"/>
          </w:tcPr>
          <w:p w14:paraId="79A44C10">
            <w:pPr>
              <w:spacing w:line="276" w:lineRule="auto"/>
              <w:jc w:val="center"/>
              <w:rPr>
                <w:rFonts w:hint="eastAsia" w:ascii="宋体" w:hAnsi="宋体" w:eastAsia="宋体" w:cs="宋体"/>
                <w:color w:val="auto"/>
                <w:sz w:val="21"/>
                <w:szCs w:val="21"/>
                <w:highlight w:val="none"/>
              </w:rPr>
            </w:pPr>
          </w:p>
        </w:tc>
        <w:tc>
          <w:tcPr>
            <w:tcW w:w="1039" w:type="dxa"/>
            <w:vAlign w:val="center"/>
          </w:tcPr>
          <w:p w14:paraId="307CA28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103" w:type="dxa"/>
            <w:vAlign w:val="center"/>
          </w:tcPr>
          <w:p w14:paraId="17811741">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863" w:type="dxa"/>
            <w:vAlign w:val="center"/>
          </w:tcPr>
          <w:p w14:paraId="09423D95">
            <w:pPr>
              <w:spacing w:line="276" w:lineRule="auto"/>
              <w:jc w:val="center"/>
              <w:rPr>
                <w:rFonts w:hint="eastAsia" w:ascii="宋体" w:hAnsi="宋体" w:eastAsia="宋体" w:cs="宋体"/>
                <w:color w:val="auto"/>
                <w:sz w:val="21"/>
                <w:szCs w:val="21"/>
                <w:highlight w:val="none"/>
              </w:rPr>
            </w:pPr>
          </w:p>
        </w:tc>
        <w:tc>
          <w:tcPr>
            <w:tcW w:w="1977" w:type="dxa"/>
            <w:vAlign w:val="center"/>
          </w:tcPr>
          <w:p w14:paraId="72AA5BFD">
            <w:pPr>
              <w:spacing w:line="276" w:lineRule="auto"/>
              <w:jc w:val="center"/>
              <w:rPr>
                <w:rFonts w:hint="eastAsia" w:ascii="宋体" w:hAnsi="宋体" w:eastAsia="宋体" w:cs="宋体"/>
                <w:color w:val="auto"/>
                <w:sz w:val="21"/>
                <w:szCs w:val="21"/>
                <w:highlight w:val="none"/>
              </w:rPr>
            </w:pPr>
          </w:p>
        </w:tc>
        <w:tc>
          <w:tcPr>
            <w:tcW w:w="826" w:type="dxa"/>
            <w:vAlign w:val="center"/>
          </w:tcPr>
          <w:p w14:paraId="7B1658F4">
            <w:pPr>
              <w:spacing w:line="276" w:lineRule="auto"/>
              <w:jc w:val="center"/>
              <w:rPr>
                <w:rFonts w:hint="eastAsia" w:ascii="宋体" w:hAnsi="宋体" w:eastAsia="宋体" w:cs="宋体"/>
                <w:color w:val="auto"/>
                <w:sz w:val="21"/>
                <w:szCs w:val="21"/>
                <w:highlight w:val="none"/>
              </w:rPr>
            </w:pPr>
          </w:p>
        </w:tc>
      </w:tr>
      <w:tr w14:paraId="166C2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25" w:type="dxa"/>
            <w:vAlign w:val="center"/>
          </w:tcPr>
          <w:p w14:paraId="7587A044">
            <w:pPr>
              <w:spacing w:line="276"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2162" w:type="dxa"/>
            <w:vAlign w:val="center"/>
          </w:tcPr>
          <w:p w14:paraId="01C7D8C6">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b/>
                <w:bCs/>
                <w:color w:val="auto"/>
                <w:sz w:val="21"/>
                <w:szCs w:val="21"/>
                <w:highlight w:val="none"/>
              </w:rPr>
            </w:pPr>
          </w:p>
          <w:p w14:paraId="083EE5DE">
            <w:pPr>
              <w:pStyle w:val="2"/>
              <w:rPr>
                <w:rFonts w:hint="eastAsia"/>
              </w:rPr>
            </w:pPr>
          </w:p>
        </w:tc>
        <w:tc>
          <w:tcPr>
            <w:tcW w:w="2594" w:type="dxa"/>
            <w:vAlign w:val="center"/>
          </w:tcPr>
          <w:p w14:paraId="049440C6">
            <w:pPr>
              <w:spacing w:line="276" w:lineRule="auto"/>
              <w:jc w:val="center"/>
              <w:rPr>
                <w:rFonts w:hint="eastAsia" w:ascii="宋体" w:hAnsi="宋体" w:eastAsia="宋体" w:cs="宋体"/>
                <w:color w:val="auto"/>
                <w:sz w:val="21"/>
                <w:szCs w:val="21"/>
                <w:highlight w:val="none"/>
              </w:rPr>
            </w:pPr>
          </w:p>
        </w:tc>
        <w:tc>
          <w:tcPr>
            <w:tcW w:w="1868" w:type="dxa"/>
            <w:vAlign w:val="center"/>
          </w:tcPr>
          <w:p w14:paraId="6750093C">
            <w:pPr>
              <w:spacing w:line="276" w:lineRule="auto"/>
              <w:jc w:val="center"/>
              <w:rPr>
                <w:rFonts w:hint="eastAsia" w:ascii="宋体" w:hAnsi="宋体" w:eastAsia="宋体" w:cs="宋体"/>
                <w:color w:val="auto"/>
                <w:sz w:val="21"/>
                <w:szCs w:val="21"/>
                <w:highlight w:val="none"/>
              </w:rPr>
            </w:pPr>
          </w:p>
        </w:tc>
        <w:tc>
          <w:tcPr>
            <w:tcW w:w="1039" w:type="dxa"/>
            <w:vAlign w:val="center"/>
          </w:tcPr>
          <w:p w14:paraId="4707B3EA">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103" w:type="dxa"/>
            <w:vAlign w:val="center"/>
          </w:tcPr>
          <w:p w14:paraId="163485E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863" w:type="dxa"/>
            <w:vAlign w:val="center"/>
          </w:tcPr>
          <w:p w14:paraId="33AABEB8">
            <w:pPr>
              <w:spacing w:line="276" w:lineRule="auto"/>
              <w:jc w:val="center"/>
              <w:rPr>
                <w:rFonts w:hint="eastAsia" w:ascii="宋体" w:hAnsi="宋体" w:eastAsia="宋体" w:cs="宋体"/>
                <w:color w:val="auto"/>
                <w:sz w:val="21"/>
                <w:szCs w:val="21"/>
                <w:highlight w:val="none"/>
              </w:rPr>
            </w:pPr>
          </w:p>
        </w:tc>
        <w:tc>
          <w:tcPr>
            <w:tcW w:w="1977" w:type="dxa"/>
            <w:vAlign w:val="center"/>
          </w:tcPr>
          <w:p w14:paraId="75AF8AF3">
            <w:pPr>
              <w:spacing w:line="276" w:lineRule="auto"/>
              <w:jc w:val="center"/>
              <w:rPr>
                <w:rFonts w:hint="eastAsia" w:ascii="宋体" w:hAnsi="宋体" w:eastAsia="宋体" w:cs="宋体"/>
                <w:color w:val="auto"/>
                <w:sz w:val="21"/>
                <w:szCs w:val="21"/>
                <w:highlight w:val="none"/>
              </w:rPr>
            </w:pPr>
          </w:p>
        </w:tc>
        <w:tc>
          <w:tcPr>
            <w:tcW w:w="826" w:type="dxa"/>
            <w:vAlign w:val="center"/>
          </w:tcPr>
          <w:p w14:paraId="45EBA178">
            <w:pPr>
              <w:spacing w:line="276" w:lineRule="auto"/>
              <w:jc w:val="center"/>
              <w:rPr>
                <w:rFonts w:hint="eastAsia" w:ascii="宋体" w:hAnsi="宋体" w:eastAsia="宋体" w:cs="宋体"/>
                <w:color w:val="auto"/>
                <w:sz w:val="21"/>
                <w:szCs w:val="21"/>
                <w:highlight w:val="none"/>
              </w:rPr>
            </w:pPr>
          </w:p>
        </w:tc>
      </w:tr>
      <w:tr w14:paraId="5F646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25" w:type="dxa"/>
            <w:vAlign w:val="center"/>
          </w:tcPr>
          <w:p w14:paraId="7A2F3663">
            <w:pPr>
              <w:spacing w:line="276"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2162" w:type="dxa"/>
            <w:vAlign w:val="center"/>
          </w:tcPr>
          <w:p w14:paraId="501747B5">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b/>
                <w:bCs/>
                <w:color w:val="auto"/>
                <w:sz w:val="21"/>
                <w:szCs w:val="21"/>
                <w:highlight w:val="none"/>
              </w:rPr>
            </w:pPr>
          </w:p>
          <w:p w14:paraId="0376B772">
            <w:pPr>
              <w:pStyle w:val="2"/>
              <w:rPr>
                <w:rFonts w:hint="eastAsia"/>
              </w:rPr>
            </w:pPr>
          </w:p>
        </w:tc>
        <w:tc>
          <w:tcPr>
            <w:tcW w:w="2594" w:type="dxa"/>
            <w:vAlign w:val="center"/>
          </w:tcPr>
          <w:p w14:paraId="4636E440">
            <w:pPr>
              <w:spacing w:line="276" w:lineRule="auto"/>
              <w:jc w:val="center"/>
              <w:rPr>
                <w:rFonts w:hint="eastAsia" w:ascii="宋体" w:hAnsi="宋体" w:eastAsia="宋体" w:cs="宋体"/>
                <w:color w:val="auto"/>
                <w:sz w:val="21"/>
                <w:szCs w:val="21"/>
                <w:highlight w:val="none"/>
              </w:rPr>
            </w:pPr>
          </w:p>
        </w:tc>
        <w:tc>
          <w:tcPr>
            <w:tcW w:w="1868" w:type="dxa"/>
            <w:vAlign w:val="center"/>
          </w:tcPr>
          <w:p w14:paraId="51A9BA0C">
            <w:pPr>
              <w:spacing w:line="276" w:lineRule="auto"/>
              <w:jc w:val="center"/>
              <w:rPr>
                <w:rFonts w:hint="eastAsia" w:ascii="宋体" w:hAnsi="宋体" w:eastAsia="宋体" w:cs="宋体"/>
                <w:color w:val="auto"/>
                <w:sz w:val="21"/>
                <w:szCs w:val="21"/>
                <w:highlight w:val="none"/>
              </w:rPr>
            </w:pPr>
          </w:p>
        </w:tc>
        <w:tc>
          <w:tcPr>
            <w:tcW w:w="1039" w:type="dxa"/>
            <w:vAlign w:val="center"/>
          </w:tcPr>
          <w:p w14:paraId="1C253552">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103" w:type="dxa"/>
            <w:vAlign w:val="center"/>
          </w:tcPr>
          <w:p w14:paraId="7E46F4BE">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863" w:type="dxa"/>
            <w:vAlign w:val="center"/>
          </w:tcPr>
          <w:p w14:paraId="26712A0F">
            <w:pPr>
              <w:spacing w:line="276" w:lineRule="auto"/>
              <w:jc w:val="center"/>
              <w:rPr>
                <w:rFonts w:hint="eastAsia" w:ascii="宋体" w:hAnsi="宋体" w:eastAsia="宋体" w:cs="宋体"/>
                <w:color w:val="auto"/>
                <w:sz w:val="21"/>
                <w:szCs w:val="21"/>
                <w:highlight w:val="none"/>
              </w:rPr>
            </w:pPr>
          </w:p>
        </w:tc>
        <w:tc>
          <w:tcPr>
            <w:tcW w:w="1977" w:type="dxa"/>
            <w:vAlign w:val="center"/>
          </w:tcPr>
          <w:p w14:paraId="14D2B3D9">
            <w:pPr>
              <w:spacing w:line="276" w:lineRule="auto"/>
              <w:jc w:val="center"/>
              <w:rPr>
                <w:rFonts w:hint="eastAsia" w:ascii="宋体" w:hAnsi="宋体" w:eastAsia="宋体" w:cs="宋体"/>
                <w:color w:val="auto"/>
                <w:sz w:val="21"/>
                <w:szCs w:val="21"/>
                <w:highlight w:val="none"/>
              </w:rPr>
            </w:pPr>
          </w:p>
        </w:tc>
        <w:tc>
          <w:tcPr>
            <w:tcW w:w="826" w:type="dxa"/>
            <w:vAlign w:val="center"/>
          </w:tcPr>
          <w:p w14:paraId="535A1293">
            <w:pPr>
              <w:spacing w:line="276" w:lineRule="auto"/>
              <w:jc w:val="center"/>
              <w:rPr>
                <w:rFonts w:hint="eastAsia" w:ascii="宋体" w:hAnsi="宋体" w:eastAsia="宋体" w:cs="宋体"/>
                <w:color w:val="auto"/>
                <w:sz w:val="21"/>
                <w:szCs w:val="21"/>
                <w:highlight w:val="none"/>
              </w:rPr>
            </w:pPr>
          </w:p>
        </w:tc>
      </w:tr>
      <w:tr w14:paraId="09472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25" w:type="dxa"/>
            <w:vAlign w:val="center"/>
          </w:tcPr>
          <w:p w14:paraId="3A62701C">
            <w:pPr>
              <w:spacing w:line="276"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2162" w:type="dxa"/>
            <w:vAlign w:val="center"/>
          </w:tcPr>
          <w:p w14:paraId="7242DEBB">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b/>
                <w:bCs/>
                <w:color w:val="auto"/>
                <w:sz w:val="21"/>
                <w:szCs w:val="21"/>
                <w:highlight w:val="none"/>
              </w:rPr>
            </w:pPr>
          </w:p>
          <w:p w14:paraId="5AA431E2">
            <w:pPr>
              <w:pStyle w:val="2"/>
              <w:rPr>
                <w:rFonts w:hint="eastAsia"/>
              </w:rPr>
            </w:pPr>
          </w:p>
        </w:tc>
        <w:tc>
          <w:tcPr>
            <w:tcW w:w="2594" w:type="dxa"/>
            <w:vAlign w:val="center"/>
          </w:tcPr>
          <w:p w14:paraId="0C164811">
            <w:pPr>
              <w:spacing w:line="276" w:lineRule="auto"/>
              <w:jc w:val="center"/>
              <w:rPr>
                <w:rFonts w:hint="eastAsia" w:ascii="宋体" w:hAnsi="宋体" w:eastAsia="宋体" w:cs="宋体"/>
                <w:color w:val="auto"/>
                <w:sz w:val="21"/>
                <w:szCs w:val="21"/>
                <w:highlight w:val="none"/>
              </w:rPr>
            </w:pPr>
          </w:p>
        </w:tc>
        <w:tc>
          <w:tcPr>
            <w:tcW w:w="1868" w:type="dxa"/>
            <w:vAlign w:val="center"/>
          </w:tcPr>
          <w:p w14:paraId="60752542">
            <w:pPr>
              <w:spacing w:line="276" w:lineRule="auto"/>
              <w:jc w:val="center"/>
              <w:rPr>
                <w:rFonts w:hint="eastAsia" w:ascii="宋体" w:hAnsi="宋体" w:eastAsia="宋体" w:cs="宋体"/>
                <w:color w:val="auto"/>
                <w:sz w:val="21"/>
                <w:szCs w:val="21"/>
                <w:highlight w:val="none"/>
              </w:rPr>
            </w:pPr>
          </w:p>
        </w:tc>
        <w:tc>
          <w:tcPr>
            <w:tcW w:w="1039" w:type="dxa"/>
            <w:vAlign w:val="center"/>
          </w:tcPr>
          <w:p w14:paraId="532D9A5C">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103" w:type="dxa"/>
            <w:vAlign w:val="center"/>
          </w:tcPr>
          <w:p w14:paraId="5FB4F003">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863" w:type="dxa"/>
            <w:vAlign w:val="center"/>
          </w:tcPr>
          <w:p w14:paraId="318D02C8">
            <w:pPr>
              <w:spacing w:line="276" w:lineRule="auto"/>
              <w:jc w:val="center"/>
              <w:rPr>
                <w:rFonts w:hint="eastAsia" w:ascii="宋体" w:hAnsi="宋体" w:eastAsia="宋体" w:cs="宋体"/>
                <w:color w:val="auto"/>
                <w:sz w:val="21"/>
                <w:szCs w:val="21"/>
                <w:highlight w:val="none"/>
              </w:rPr>
            </w:pPr>
          </w:p>
        </w:tc>
        <w:tc>
          <w:tcPr>
            <w:tcW w:w="1977" w:type="dxa"/>
            <w:vAlign w:val="center"/>
          </w:tcPr>
          <w:p w14:paraId="0540057C">
            <w:pPr>
              <w:spacing w:line="276" w:lineRule="auto"/>
              <w:jc w:val="center"/>
              <w:rPr>
                <w:rFonts w:hint="eastAsia" w:ascii="宋体" w:hAnsi="宋体" w:eastAsia="宋体" w:cs="宋体"/>
                <w:color w:val="auto"/>
                <w:sz w:val="21"/>
                <w:szCs w:val="21"/>
                <w:highlight w:val="none"/>
              </w:rPr>
            </w:pPr>
          </w:p>
        </w:tc>
        <w:tc>
          <w:tcPr>
            <w:tcW w:w="826" w:type="dxa"/>
            <w:vAlign w:val="center"/>
          </w:tcPr>
          <w:p w14:paraId="4BF69FB7">
            <w:pPr>
              <w:spacing w:line="276" w:lineRule="auto"/>
              <w:jc w:val="center"/>
              <w:rPr>
                <w:rFonts w:hint="eastAsia" w:ascii="宋体" w:hAnsi="宋体" w:eastAsia="宋体" w:cs="宋体"/>
                <w:color w:val="auto"/>
                <w:sz w:val="21"/>
                <w:szCs w:val="21"/>
                <w:highlight w:val="none"/>
              </w:rPr>
            </w:pPr>
          </w:p>
        </w:tc>
      </w:tr>
      <w:tr w14:paraId="17566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25" w:type="dxa"/>
            <w:vAlign w:val="center"/>
          </w:tcPr>
          <w:p w14:paraId="66C1C667">
            <w:pPr>
              <w:spacing w:line="276"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2162" w:type="dxa"/>
            <w:vAlign w:val="center"/>
          </w:tcPr>
          <w:p w14:paraId="09D2D51E">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b/>
                <w:bCs/>
                <w:color w:val="auto"/>
                <w:sz w:val="21"/>
                <w:szCs w:val="21"/>
                <w:highlight w:val="none"/>
              </w:rPr>
            </w:pPr>
          </w:p>
          <w:p w14:paraId="4ACE3A0F">
            <w:pPr>
              <w:pStyle w:val="2"/>
              <w:rPr>
                <w:rFonts w:hint="eastAsia"/>
              </w:rPr>
            </w:pPr>
          </w:p>
        </w:tc>
        <w:tc>
          <w:tcPr>
            <w:tcW w:w="2594" w:type="dxa"/>
            <w:vAlign w:val="center"/>
          </w:tcPr>
          <w:p w14:paraId="22921601">
            <w:pPr>
              <w:spacing w:line="276" w:lineRule="auto"/>
              <w:jc w:val="center"/>
              <w:rPr>
                <w:rFonts w:hint="eastAsia" w:ascii="宋体" w:hAnsi="宋体" w:eastAsia="宋体" w:cs="宋体"/>
                <w:color w:val="auto"/>
                <w:sz w:val="21"/>
                <w:szCs w:val="21"/>
                <w:highlight w:val="none"/>
              </w:rPr>
            </w:pPr>
          </w:p>
        </w:tc>
        <w:tc>
          <w:tcPr>
            <w:tcW w:w="1868" w:type="dxa"/>
            <w:vAlign w:val="center"/>
          </w:tcPr>
          <w:p w14:paraId="1961F763">
            <w:pPr>
              <w:spacing w:line="276" w:lineRule="auto"/>
              <w:jc w:val="center"/>
              <w:rPr>
                <w:rFonts w:hint="eastAsia" w:ascii="宋体" w:hAnsi="宋体" w:eastAsia="宋体" w:cs="宋体"/>
                <w:color w:val="auto"/>
                <w:sz w:val="21"/>
                <w:szCs w:val="21"/>
                <w:highlight w:val="none"/>
              </w:rPr>
            </w:pPr>
          </w:p>
        </w:tc>
        <w:tc>
          <w:tcPr>
            <w:tcW w:w="1039" w:type="dxa"/>
            <w:vAlign w:val="center"/>
          </w:tcPr>
          <w:p w14:paraId="3D2C0E8F">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103" w:type="dxa"/>
            <w:vAlign w:val="center"/>
          </w:tcPr>
          <w:p w14:paraId="458909C0">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863" w:type="dxa"/>
            <w:vAlign w:val="center"/>
          </w:tcPr>
          <w:p w14:paraId="11435A06">
            <w:pPr>
              <w:spacing w:line="276" w:lineRule="auto"/>
              <w:jc w:val="center"/>
              <w:rPr>
                <w:rFonts w:hint="eastAsia" w:ascii="宋体" w:hAnsi="宋体" w:eastAsia="宋体" w:cs="宋体"/>
                <w:color w:val="auto"/>
                <w:sz w:val="21"/>
                <w:szCs w:val="21"/>
                <w:highlight w:val="none"/>
              </w:rPr>
            </w:pPr>
          </w:p>
        </w:tc>
        <w:tc>
          <w:tcPr>
            <w:tcW w:w="1977" w:type="dxa"/>
            <w:vAlign w:val="center"/>
          </w:tcPr>
          <w:p w14:paraId="15BC61F8">
            <w:pPr>
              <w:spacing w:line="276" w:lineRule="auto"/>
              <w:jc w:val="center"/>
              <w:rPr>
                <w:rFonts w:hint="eastAsia" w:ascii="宋体" w:hAnsi="宋体" w:eastAsia="宋体" w:cs="宋体"/>
                <w:color w:val="auto"/>
                <w:sz w:val="21"/>
                <w:szCs w:val="21"/>
                <w:highlight w:val="none"/>
              </w:rPr>
            </w:pPr>
          </w:p>
        </w:tc>
        <w:tc>
          <w:tcPr>
            <w:tcW w:w="826" w:type="dxa"/>
            <w:vAlign w:val="center"/>
          </w:tcPr>
          <w:p w14:paraId="16DBDBE1">
            <w:pPr>
              <w:spacing w:line="276" w:lineRule="auto"/>
              <w:jc w:val="center"/>
              <w:rPr>
                <w:rFonts w:hint="eastAsia" w:ascii="宋体" w:hAnsi="宋体" w:eastAsia="宋体" w:cs="宋体"/>
                <w:color w:val="auto"/>
                <w:sz w:val="21"/>
                <w:szCs w:val="21"/>
                <w:highlight w:val="none"/>
              </w:rPr>
            </w:pPr>
          </w:p>
        </w:tc>
      </w:tr>
      <w:tr w14:paraId="7850D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25" w:type="dxa"/>
            <w:vAlign w:val="center"/>
          </w:tcPr>
          <w:p w14:paraId="0A7C77FD">
            <w:pPr>
              <w:spacing w:line="276"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2162" w:type="dxa"/>
            <w:vAlign w:val="center"/>
          </w:tcPr>
          <w:p w14:paraId="303838CA">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b/>
                <w:bCs/>
                <w:color w:val="auto"/>
                <w:sz w:val="21"/>
                <w:szCs w:val="21"/>
                <w:highlight w:val="none"/>
              </w:rPr>
            </w:pPr>
          </w:p>
          <w:p w14:paraId="6343C5E2">
            <w:pPr>
              <w:pStyle w:val="2"/>
              <w:rPr>
                <w:rFonts w:hint="eastAsia"/>
              </w:rPr>
            </w:pPr>
          </w:p>
        </w:tc>
        <w:tc>
          <w:tcPr>
            <w:tcW w:w="2594" w:type="dxa"/>
            <w:vAlign w:val="center"/>
          </w:tcPr>
          <w:p w14:paraId="775C7123">
            <w:pPr>
              <w:spacing w:line="276" w:lineRule="auto"/>
              <w:jc w:val="center"/>
              <w:rPr>
                <w:rFonts w:hint="eastAsia" w:ascii="宋体" w:hAnsi="宋体" w:eastAsia="宋体" w:cs="宋体"/>
                <w:color w:val="auto"/>
                <w:sz w:val="21"/>
                <w:szCs w:val="21"/>
                <w:highlight w:val="none"/>
              </w:rPr>
            </w:pPr>
          </w:p>
        </w:tc>
        <w:tc>
          <w:tcPr>
            <w:tcW w:w="1868" w:type="dxa"/>
            <w:vAlign w:val="center"/>
          </w:tcPr>
          <w:p w14:paraId="33ABA036">
            <w:pPr>
              <w:spacing w:line="276" w:lineRule="auto"/>
              <w:jc w:val="center"/>
              <w:rPr>
                <w:rFonts w:hint="eastAsia" w:ascii="宋体" w:hAnsi="宋体" w:eastAsia="宋体" w:cs="宋体"/>
                <w:color w:val="auto"/>
                <w:sz w:val="21"/>
                <w:szCs w:val="21"/>
                <w:highlight w:val="none"/>
              </w:rPr>
            </w:pPr>
          </w:p>
        </w:tc>
        <w:tc>
          <w:tcPr>
            <w:tcW w:w="1039" w:type="dxa"/>
            <w:vAlign w:val="center"/>
          </w:tcPr>
          <w:p w14:paraId="0BC21B18">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103" w:type="dxa"/>
            <w:vAlign w:val="center"/>
          </w:tcPr>
          <w:p w14:paraId="29DEB037">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863" w:type="dxa"/>
            <w:vAlign w:val="center"/>
          </w:tcPr>
          <w:p w14:paraId="5336071F">
            <w:pPr>
              <w:spacing w:line="276" w:lineRule="auto"/>
              <w:jc w:val="center"/>
              <w:rPr>
                <w:rFonts w:hint="eastAsia" w:ascii="宋体" w:hAnsi="宋体" w:eastAsia="宋体" w:cs="宋体"/>
                <w:color w:val="auto"/>
                <w:sz w:val="21"/>
                <w:szCs w:val="21"/>
                <w:highlight w:val="none"/>
              </w:rPr>
            </w:pPr>
          </w:p>
        </w:tc>
        <w:tc>
          <w:tcPr>
            <w:tcW w:w="1977" w:type="dxa"/>
            <w:vAlign w:val="center"/>
          </w:tcPr>
          <w:p w14:paraId="1E49F45C">
            <w:pPr>
              <w:spacing w:line="276" w:lineRule="auto"/>
              <w:jc w:val="center"/>
              <w:rPr>
                <w:rFonts w:hint="eastAsia" w:ascii="宋体" w:hAnsi="宋体" w:eastAsia="宋体" w:cs="宋体"/>
                <w:color w:val="auto"/>
                <w:sz w:val="21"/>
                <w:szCs w:val="21"/>
                <w:highlight w:val="none"/>
              </w:rPr>
            </w:pPr>
          </w:p>
        </w:tc>
        <w:tc>
          <w:tcPr>
            <w:tcW w:w="826" w:type="dxa"/>
            <w:vAlign w:val="center"/>
          </w:tcPr>
          <w:p w14:paraId="283DFBCD">
            <w:pPr>
              <w:spacing w:line="276" w:lineRule="auto"/>
              <w:jc w:val="center"/>
              <w:rPr>
                <w:rFonts w:hint="eastAsia" w:ascii="宋体" w:hAnsi="宋体" w:eastAsia="宋体" w:cs="宋体"/>
                <w:color w:val="auto"/>
                <w:sz w:val="21"/>
                <w:szCs w:val="21"/>
                <w:highlight w:val="none"/>
              </w:rPr>
            </w:pPr>
          </w:p>
        </w:tc>
      </w:tr>
      <w:tr w14:paraId="3468B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725" w:type="dxa"/>
            <w:vAlign w:val="center"/>
          </w:tcPr>
          <w:p w14:paraId="4CAC108D">
            <w:pPr>
              <w:spacing w:line="276"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2162" w:type="dxa"/>
            <w:vAlign w:val="center"/>
          </w:tcPr>
          <w:p w14:paraId="160CD22F">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b/>
                <w:bCs/>
                <w:color w:val="auto"/>
                <w:sz w:val="21"/>
                <w:szCs w:val="21"/>
                <w:highlight w:val="none"/>
              </w:rPr>
            </w:pPr>
          </w:p>
          <w:p w14:paraId="328C3A79">
            <w:pPr>
              <w:pStyle w:val="2"/>
              <w:rPr>
                <w:rFonts w:hint="eastAsia"/>
              </w:rPr>
            </w:pPr>
          </w:p>
        </w:tc>
        <w:tc>
          <w:tcPr>
            <w:tcW w:w="2594" w:type="dxa"/>
            <w:vAlign w:val="center"/>
          </w:tcPr>
          <w:p w14:paraId="2D3B2CCE">
            <w:pPr>
              <w:spacing w:line="276" w:lineRule="auto"/>
              <w:jc w:val="center"/>
              <w:rPr>
                <w:rFonts w:hint="eastAsia" w:ascii="宋体" w:hAnsi="宋体" w:eastAsia="宋体" w:cs="宋体"/>
                <w:color w:val="auto"/>
                <w:sz w:val="21"/>
                <w:szCs w:val="21"/>
                <w:highlight w:val="none"/>
              </w:rPr>
            </w:pPr>
          </w:p>
        </w:tc>
        <w:tc>
          <w:tcPr>
            <w:tcW w:w="1868" w:type="dxa"/>
            <w:vAlign w:val="center"/>
          </w:tcPr>
          <w:p w14:paraId="282C2AE6">
            <w:pPr>
              <w:spacing w:line="276" w:lineRule="auto"/>
              <w:jc w:val="center"/>
              <w:rPr>
                <w:rFonts w:hint="eastAsia" w:ascii="宋体" w:hAnsi="宋体" w:eastAsia="宋体" w:cs="宋体"/>
                <w:color w:val="auto"/>
                <w:sz w:val="21"/>
                <w:szCs w:val="21"/>
                <w:highlight w:val="none"/>
              </w:rPr>
            </w:pPr>
          </w:p>
        </w:tc>
        <w:tc>
          <w:tcPr>
            <w:tcW w:w="1039" w:type="dxa"/>
            <w:vAlign w:val="center"/>
          </w:tcPr>
          <w:p w14:paraId="5194E1A3">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103" w:type="dxa"/>
            <w:vAlign w:val="center"/>
          </w:tcPr>
          <w:p w14:paraId="2F824F78">
            <w:pPr>
              <w:keepNext w:val="0"/>
              <w:keepLines w:val="0"/>
              <w:pageBreakBefore w:val="0"/>
              <w:widowControl/>
              <w:suppressLineNumbers w:val="0"/>
              <w:kinsoku/>
              <w:wordWrap/>
              <w:overflowPunct/>
              <w:topLinePunct w:val="0"/>
              <w:autoSpaceDE w:val="0"/>
              <w:autoSpaceDN w:val="0"/>
              <w:bidi w:val="0"/>
              <w:adjustRightInd/>
              <w:snapToGrid/>
              <w:spacing w:after="0" w:line="500" w:lineRule="exact"/>
              <w:jc w:val="center"/>
              <w:textAlignment w:val="center"/>
              <w:rPr>
                <w:rFonts w:hint="eastAsia" w:ascii="宋体" w:hAnsi="宋体" w:eastAsia="宋体" w:cs="宋体"/>
                <w:color w:val="auto"/>
                <w:sz w:val="21"/>
                <w:szCs w:val="21"/>
                <w:highlight w:val="none"/>
              </w:rPr>
            </w:pPr>
          </w:p>
        </w:tc>
        <w:tc>
          <w:tcPr>
            <w:tcW w:w="1863" w:type="dxa"/>
            <w:vAlign w:val="center"/>
          </w:tcPr>
          <w:p w14:paraId="0B23C8F6">
            <w:pPr>
              <w:spacing w:line="276" w:lineRule="auto"/>
              <w:jc w:val="center"/>
              <w:rPr>
                <w:rFonts w:hint="eastAsia" w:ascii="宋体" w:hAnsi="宋体" w:eastAsia="宋体" w:cs="宋体"/>
                <w:color w:val="auto"/>
                <w:sz w:val="21"/>
                <w:szCs w:val="21"/>
                <w:highlight w:val="none"/>
              </w:rPr>
            </w:pPr>
          </w:p>
        </w:tc>
        <w:tc>
          <w:tcPr>
            <w:tcW w:w="1977" w:type="dxa"/>
            <w:vAlign w:val="center"/>
          </w:tcPr>
          <w:p w14:paraId="050181B5">
            <w:pPr>
              <w:spacing w:line="276" w:lineRule="auto"/>
              <w:jc w:val="center"/>
              <w:rPr>
                <w:rFonts w:hint="eastAsia" w:ascii="宋体" w:hAnsi="宋体" w:eastAsia="宋体" w:cs="宋体"/>
                <w:color w:val="auto"/>
                <w:sz w:val="21"/>
                <w:szCs w:val="21"/>
                <w:highlight w:val="none"/>
              </w:rPr>
            </w:pPr>
          </w:p>
        </w:tc>
        <w:tc>
          <w:tcPr>
            <w:tcW w:w="826" w:type="dxa"/>
            <w:vAlign w:val="center"/>
          </w:tcPr>
          <w:p w14:paraId="72EDEB85">
            <w:pPr>
              <w:spacing w:line="276" w:lineRule="auto"/>
              <w:jc w:val="center"/>
              <w:rPr>
                <w:rFonts w:hint="eastAsia" w:ascii="宋体" w:hAnsi="宋体" w:eastAsia="宋体" w:cs="宋体"/>
                <w:color w:val="auto"/>
                <w:sz w:val="21"/>
                <w:szCs w:val="21"/>
                <w:highlight w:val="none"/>
              </w:rPr>
            </w:pPr>
          </w:p>
        </w:tc>
      </w:tr>
      <w:tr w14:paraId="35204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8" w:hRule="atLeast"/>
        </w:trPr>
        <w:tc>
          <w:tcPr>
            <w:tcW w:w="11354" w:type="dxa"/>
            <w:gridSpan w:val="7"/>
            <w:vAlign w:val="center"/>
          </w:tcPr>
          <w:p w14:paraId="7BEEB0BA">
            <w:pPr>
              <w:spacing w:line="276"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2803" w:type="dxa"/>
            <w:gridSpan w:val="2"/>
            <w:vAlign w:val="center"/>
          </w:tcPr>
          <w:p w14:paraId="1A299026">
            <w:pPr>
              <w:spacing w:line="276"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小写：</w:t>
            </w:r>
          </w:p>
          <w:p w14:paraId="6E2C92F8">
            <w:pPr>
              <w:spacing w:line="276"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大写：</w:t>
            </w:r>
          </w:p>
        </w:tc>
      </w:tr>
    </w:tbl>
    <w:p w14:paraId="422F8A9E">
      <w:pPr>
        <w:pStyle w:val="29"/>
        <w:spacing w:line="457" w:lineRule="exact"/>
        <w:ind w:left="0" w:leftChars="0" w:right="-71" w:firstLine="1260" w:firstLineChars="600"/>
        <w:jc w:val="both"/>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投标人：</w:t>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（盖章）</w:t>
      </w:r>
    </w:p>
    <w:p w14:paraId="7CC14785">
      <w:pPr>
        <w:pStyle w:val="29"/>
        <w:spacing w:line="457" w:lineRule="exact"/>
        <w:ind w:left="0" w:right="-71" w:firstLine="1260" w:firstLineChars="600"/>
        <w:jc w:val="both"/>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法定代表人或其委托代理人：</w:t>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（签字或盖章）</w:t>
      </w:r>
    </w:p>
    <w:p w14:paraId="0B050EE3">
      <w:pPr>
        <w:pStyle w:val="29"/>
        <w:spacing w:line="457" w:lineRule="exact"/>
        <w:ind w:left="0" w:right="-71" w:firstLine="0"/>
        <w:jc w:val="center"/>
        <w:outlineLvl w:val="9"/>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val="0"/>
          <w:color w:val="auto"/>
          <w:sz w:val="21"/>
          <w:szCs w:val="21"/>
          <w:highlight w:val="none"/>
          <w:lang w:eastAsia="zh-CN"/>
        </w:rPr>
        <w:t xml:space="preserve">        年       月       日</w:t>
      </w:r>
    </w:p>
    <w:p w14:paraId="79853C55">
      <w:pPr>
        <w:pStyle w:val="29"/>
        <w:spacing w:line="443" w:lineRule="exact"/>
        <w:ind w:left="0" w:leftChars="0" w:right="1" w:firstLine="0" w:firstLineChars="0"/>
        <w:jc w:val="center"/>
        <w:outlineLvl w:val="3"/>
        <w:rPr>
          <w:rFonts w:hint="eastAsia" w:ascii="宋体" w:hAnsi="宋体" w:eastAsia="宋体" w:cs="宋体"/>
          <w:b/>
          <w:bCs/>
          <w:color w:val="auto"/>
          <w:sz w:val="32"/>
          <w:szCs w:val="32"/>
          <w:highlight w:val="none"/>
          <w:lang w:val="en-US" w:eastAsia="zh-CN" w:bidi="ar-SA"/>
        </w:rPr>
        <w:sectPr>
          <w:headerReference r:id="rId10" w:type="default"/>
          <w:pgSz w:w="16838" w:h="11906" w:orient="landscape"/>
          <w:pgMar w:top="1800" w:right="1440" w:bottom="1800" w:left="1440" w:header="851" w:footer="992" w:gutter="0"/>
          <w:cols w:space="425" w:num="1"/>
          <w:docGrid w:type="lines" w:linePitch="312" w:charSpace="0"/>
        </w:sectPr>
      </w:pPr>
    </w:p>
    <w:p w14:paraId="4A506088">
      <w:pPr>
        <w:pStyle w:val="33"/>
        <w:keepNext/>
        <w:keepLines/>
        <w:spacing w:after="480" w:line="240" w:lineRule="auto"/>
        <w:jc w:val="center"/>
        <w:outlineLvl w:val="3"/>
        <w:rPr>
          <w:rFonts w:hint="eastAsia" w:ascii="宋体" w:hAnsi="宋体" w:eastAsia="宋体" w:cs="宋体"/>
          <w:b/>
          <w:bCs/>
          <w:color w:val="auto"/>
          <w:sz w:val="32"/>
          <w:szCs w:val="32"/>
          <w:highlight w:val="none"/>
        </w:rPr>
      </w:pPr>
      <w:bookmarkStart w:id="83" w:name="_Toc11915"/>
      <w:r>
        <w:rPr>
          <w:rFonts w:hint="eastAsia" w:ascii="宋体" w:hAnsi="宋体" w:eastAsia="宋体" w:cs="宋体"/>
          <w:b/>
          <w:bCs/>
          <w:color w:val="auto"/>
          <w:sz w:val="32"/>
          <w:szCs w:val="32"/>
          <w:highlight w:val="none"/>
          <w:lang w:val="en-US" w:eastAsia="zh-CN"/>
        </w:rPr>
        <w:t>（二）</w:t>
      </w:r>
      <w:r>
        <w:rPr>
          <w:rFonts w:hint="eastAsia" w:ascii="宋体" w:hAnsi="宋体" w:eastAsia="宋体" w:cs="宋体"/>
          <w:b/>
          <w:bCs/>
          <w:color w:val="auto"/>
          <w:sz w:val="32"/>
          <w:szCs w:val="32"/>
          <w:highlight w:val="none"/>
        </w:rPr>
        <w:t>中小企业声明函</w:t>
      </w:r>
      <w:bookmarkEnd w:id="83"/>
    </w:p>
    <w:p w14:paraId="5C05D6FE">
      <w:pPr>
        <w:adjustRightInd w:val="0"/>
        <w:snapToGrid w:val="0"/>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 xml:space="preserve">本公司（联合体）郑重声明，根据《政府采购促进中小企业发展管理办法》（财库﹝2020﹞46 号）的规定，本公司（联合体）参加 </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 单 位 名 称 ） 的</w:t>
      </w:r>
      <w:r>
        <w:rPr>
          <w:rFonts w:hint="eastAsia" w:ascii="宋体" w:hAnsi="宋体" w:eastAsia="宋体" w:cs="宋体"/>
          <w:b w:val="0"/>
          <w:bCs/>
          <w:color w:val="auto"/>
          <w:sz w:val="22"/>
          <w:szCs w:val="22"/>
          <w:highlight w:val="none"/>
          <w:u w:val="single"/>
          <w:lang w:eastAsia="zh-CN"/>
        </w:rPr>
        <w:t xml:space="preserve"> </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 项 目 名 称 ） 采购活动，服务全部由符合政策要求的中小企业承接。相关企业（含联合体中的中小企业、签订分包意向协议的中小企业）的具体情况如下：</w:t>
      </w:r>
    </w:p>
    <w:p w14:paraId="2CA7ED03">
      <w:pPr>
        <w:adjustRightInd w:val="0"/>
        <w:snapToGrid w:val="0"/>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1.</w:t>
      </w:r>
      <w:r>
        <w:rPr>
          <w:rFonts w:hint="eastAsia" w:ascii="宋体" w:hAnsi="宋体" w:eastAsia="宋体" w:cs="宋体"/>
          <w:b w:val="0"/>
          <w:bCs/>
          <w:color w:val="auto"/>
          <w:sz w:val="22"/>
          <w:szCs w:val="22"/>
          <w:highlight w:val="none"/>
          <w:u w:val="single"/>
          <w:lang w:eastAsia="zh-CN"/>
        </w:rPr>
        <w:t xml:space="preserve"> （ 标 的 名 称 ） </w:t>
      </w:r>
      <w:r>
        <w:rPr>
          <w:rFonts w:hint="eastAsia" w:ascii="宋体" w:hAnsi="宋体" w:eastAsia="宋体" w:cs="宋体"/>
          <w:b w:val="0"/>
          <w:bCs/>
          <w:color w:val="auto"/>
          <w:sz w:val="22"/>
          <w:szCs w:val="22"/>
          <w:highlight w:val="none"/>
          <w:lang w:eastAsia="zh-CN"/>
        </w:rPr>
        <w:t>，属于</w:t>
      </w:r>
      <w:r>
        <w:rPr>
          <w:rFonts w:hint="eastAsia" w:ascii="宋体" w:hAnsi="宋体" w:eastAsia="宋体" w:cs="宋体"/>
          <w:b w:val="0"/>
          <w:bCs/>
          <w:color w:val="auto"/>
          <w:sz w:val="22"/>
          <w:szCs w:val="22"/>
          <w:highlight w:val="none"/>
          <w:u w:val="single"/>
          <w:lang w:eastAsia="zh-CN"/>
        </w:rPr>
        <w:t xml:space="preserve"> （ 招 标 文 件 中 明 确 的 所 属 行 业 ） </w:t>
      </w:r>
      <w:r>
        <w:rPr>
          <w:rFonts w:hint="eastAsia" w:ascii="宋体" w:hAnsi="宋体" w:eastAsia="宋体" w:cs="宋体"/>
          <w:b w:val="0"/>
          <w:bCs/>
          <w:color w:val="auto"/>
          <w:sz w:val="22"/>
          <w:szCs w:val="22"/>
          <w:highlight w:val="none"/>
          <w:lang w:eastAsia="zh-CN"/>
        </w:rPr>
        <w:t>行业；承建（承接）企业为</w:t>
      </w:r>
      <w:r>
        <w:rPr>
          <w:rFonts w:hint="eastAsia" w:ascii="宋体" w:hAnsi="宋体" w:eastAsia="宋体" w:cs="宋体"/>
          <w:b w:val="0"/>
          <w:bCs/>
          <w:color w:val="auto"/>
          <w:sz w:val="22"/>
          <w:szCs w:val="22"/>
          <w:highlight w:val="none"/>
          <w:u w:val="single"/>
          <w:lang w:eastAsia="zh-CN"/>
        </w:rPr>
        <w:t xml:space="preserve"> （ 企 业 名 称 ）</w:t>
      </w:r>
      <w:r>
        <w:rPr>
          <w:rFonts w:hint="eastAsia" w:ascii="宋体" w:hAnsi="宋体" w:eastAsia="宋体" w:cs="宋体"/>
          <w:b w:val="0"/>
          <w:bCs/>
          <w:color w:val="auto"/>
          <w:sz w:val="22"/>
          <w:szCs w:val="22"/>
          <w:highlight w:val="none"/>
          <w:lang w:eastAsia="zh-CN"/>
        </w:rPr>
        <w:t xml:space="preserve"> ，从业人员</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人，营业收入为</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万元，资产总额为</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万元，属于</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（中 型企业、小型企业、微型企业 ）；</w:t>
      </w:r>
    </w:p>
    <w:p w14:paraId="2FBCDE9C">
      <w:pPr>
        <w:adjustRightInd w:val="0"/>
        <w:snapToGrid w:val="0"/>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2.</w:t>
      </w:r>
      <w:r>
        <w:rPr>
          <w:rFonts w:hint="eastAsia" w:ascii="宋体" w:hAnsi="宋体" w:eastAsia="宋体" w:cs="宋体"/>
          <w:b w:val="0"/>
          <w:bCs/>
          <w:color w:val="auto"/>
          <w:sz w:val="22"/>
          <w:szCs w:val="22"/>
          <w:highlight w:val="none"/>
          <w:u w:val="single"/>
          <w:lang w:eastAsia="zh-CN"/>
        </w:rPr>
        <w:t xml:space="preserve"> （ 标 的 名 称 ） </w:t>
      </w:r>
      <w:r>
        <w:rPr>
          <w:rFonts w:hint="eastAsia" w:ascii="宋体" w:hAnsi="宋体" w:eastAsia="宋体" w:cs="宋体"/>
          <w:b w:val="0"/>
          <w:bCs/>
          <w:color w:val="auto"/>
          <w:sz w:val="22"/>
          <w:szCs w:val="22"/>
          <w:highlight w:val="none"/>
          <w:lang w:eastAsia="zh-CN"/>
        </w:rPr>
        <w:t>，属于</w:t>
      </w:r>
      <w:r>
        <w:rPr>
          <w:rFonts w:hint="eastAsia" w:ascii="宋体" w:hAnsi="宋体" w:eastAsia="宋体" w:cs="宋体"/>
          <w:b w:val="0"/>
          <w:bCs/>
          <w:color w:val="auto"/>
          <w:sz w:val="22"/>
          <w:szCs w:val="22"/>
          <w:highlight w:val="none"/>
          <w:u w:val="single"/>
          <w:lang w:eastAsia="zh-CN"/>
        </w:rPr>
        <w:t xml:space="preserve"> （ 招 标 文 件 中 明 确 的 所 属 行 业 ） </w:t>
      </w:r>
      <w:r>
        <w:rPr>
          <w:rFonts w:hint="eastAsia" w:ascii="宋体" w:hAnsi="宋体" w:eastAsia="宋体" w:cs="宋体"/>
          <w:b w:val="0"/>
          <w:bCs/>
          <w:color w:val="auto"/>
          <w:sz w:val="22"/>
          <w:szCs w:val="22"/>
          <w:highlight w:val="none"/>
          <w:lang w:eastAsia="zh-CN"/>
        </w:rPr>
        <w:t>行业；承建（承接）企业为</w:t>
      </w:r>
      <w:r>
        <w:rPr>
          <w:rFonts w:hint="eastAsia" w:ascii="宋体" w:hAnsi="宋体" w:eastAsia="宋体" w:cs="宋体"/>
          <w:b w:val="0"/>
          <w:bCs/>
          <w:color w:val="auto"/>
          <w:sz w:val="22"/>
          <w:szCs w:val="22"/>
          <w:highlight w:val="none"/>
          <w:u w:val="single"/>
          <w:lang w:eastAsia="zh-CN"/>
        </w:rPr>
        <w:t xml:space="preserve"> （ 企 业 名 称 ） </w:t>
      </w:r>
      <w:r>
        <w:rPr>
          <w:rFonts w:hint="eastAsia" w:ascii="宋体" w:hAnsi="宋体" w:eastAsia="宋体" w:cs="宋体"/>
          <w:b w:val="0"/>
          <w:bCs/>
          <w:color w:val="auto"/>
          <w:sz w:val="22"/>
          <w:szCs w:val="22"/>
          <w:highlight w:val="none"/>
          <w:lang w:eastAsia="zh-CN"/>
        </w:rPr>
        <w:t>，从业人员</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人，营业收入为</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万元，资产总额为</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万元，属于</w:t>
      </w:r>
      <w:r>
        <w:rPr>
          <w:rFonts w:hint="eastAsia" w:ascii="宋体" w:hAnsi="宋体" w:eastAsia="宋体" w:cs="宋体"/>
          <w:b w:val="0"/>
          <w:bCs/>
          <w:color w:val="auto"/>
          <w:sz w:val="22"/>
          <w:szCs w:val="22"/>
          <w:highlight w:val="none"/>
          <w:u w:val="single"/>
          <w:lang w:val="en-US" w:eastAsia="zh-CN"/>
        </w:rPr>
        <w:t xml:space="preserve">   </w:t>
      </w:r>
      <w:r>
        <w:rPr>
          <w:rFonts w:hint="eastAsia" w:ascii="宋体" w:hAnsi="宋体" w:eastAsia="宋体" w:cs="宋体"/>
          <w:b w:val="0"/>
          <w:bCs/>
          <w:color w:val="auto"/>
          <w:sz w:val="22"/>
          <w:szCs w:val="22"/>
          <w:highlight w:val="none"/>
          <w:lang w:eastAsia="zh-CN"/>
        </w:rPr>
        <w:t>（中型 企业、小型企业、微型企业） ；</w:t>
      </w:r>
    </w:p>
    <w:p w14:paraId="084FE1F9">
      <w:pPr>
        <w:adjustRightInd w:val="0"/>
        <w:snapToGrid w:val="0"/>
        <w:spacing w:line="360" w:lineRule="auto"/>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w:t>
      </w:r>
    </w:p>
    <w:p w14:paraId="346C7E5A">
      <w:pPr>
        <w:adjustRightInd w:val="0"/>
        <w:snapToGrid w:val="0"/>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以上企业，不属于大企业的分支机构，不存在控股股东为大企业的情形，也不存在与大企业的负责人为同一人的情形。</w:t>
      </w:r>
    </w:p>
    <w:p w14:paraId="343C407E">
      <w:pPr>
        <w:adjustRightInd w:val="0"/>
        <w:snapToGrid w:val="0"/>
        <w:spacing w:line="360" w:lineRule="auto"/>
        <w:ind w:firstLine="440" w:firstLineChars="2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本企业对上述声明内容的真实性负责。如有虚假，将依法承担相应责任。</w:t>
      </w:r>
    </w:p>
    <w:p w14:paraId="3B6D2F94">
      <w:pPr>
        <w:adjustRightInd w:val="0"/>
        <w:snapToGrid w:val="0"/>
        <w:spacing w:line="360" w:lineRule="auto"/>
        <w:ind w:firstLine="3300" w:firstLineChars="15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企业名称（加盖公章）：</w:t>
      </w:r>
    </w:p>
    <w:p w14:paraId="101547C7">
      <w:pPr>
        <w:adjustRightInd w:val="0"/>
        <w:snapToGrid w:val="0"/>
        <w:spacing w:line="360" w:lineRule="auto"/>
        <w:ind w:firstLine="3300" w:firstLineChars="1500"/>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eastAsia="zh-CN"/>
        </w:rPr>
        <w:t>日 期：</w:t>
      </w:r>
    </w:p>
    <w:p w14:paraId="2325B2AB">
      <w:pPr>
        <w:tabs>
          <w:tab w:val="left" w:pos="1021"/>
        </w:tabs>
        <w:jc w:val="center"/>
        <w:rPr>
          <w:rFonts w:hint="eastAsia" w:ascii="宋体" w:hAnsi="宋体" w:eastAsia="宋体" w:cs="宋体"/>
          <w:b/>
          <w:bCs/>
          <w:color w:val="auto"/>
          <w:sz w:val="21"/>
          <w:szCs w:val="21"/>
          <w:highlight w:val="none"/>
          <w:lang w:val="zh-CN" w:eastAsia="zh-CN"/>
        </w:rPr>
      </w:pPr>
    </w:p>
    <w:p w14:paraId="7DA94186">
      <w:pPr>
        <w:tabs>
          <w:tab w:val="left" w:pos="1021"/>
        </w:tabs>
        <w:jc w:val="center"/>
        <w:rPr>
          <w:rFonts w:hint="eastAsia" w:ascii="宋体" w:hAnsi="宋体" w:eastAsia="宋体" w:cs="宋体"/>
          <w:b/>
          <w:bCs/>
          <w:color w:val="auto"/>
          <w:sz w:val="21"/>
          <w:szCs w:val="21"/>
          <w:highlight w:val="none"/>
          <w:lang w:val="zh-CN" w:eastAsia="zh-CN"/>
        </w:rPr>
      </w:pPr>
    </w:p>
    <w:p w14:paraId="7D1AB45B">
      <w:pPr>
        <w:tabs>
          <w:tab w:val="left" w:pos="1021"/>
        </w:tabs>
        <w:ind w:firstLine="422" w:firstLineChars="200"/>
        <w:jc w:val="both"/>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从业人员、营业收入、</w:t>
      </w:r>
      <w:r>
        <w:rPr>
          <w:rFonts w:hint="eastAsia" w:ascii="宋体" w:hAnsi="宋体" w:eastAsia="宋体" w:cs="宋体"/>
          <w:b/>
          <w:bCs/>
          <w:color w:val="auto"/>
          <w:sz w:val="21"/>
          <w:szCs w:val="21"/>
          <w:highlight w:val="none"/>
          <w:lang w:val="en-US" w:eastAsia="zh-CN"/>
        </w:rPr>
        <w:t>利润</w:t>
      </w:r>
      <w:r>
        <w:rPr>
          <w:rFonts w:hint="eastAsia" w:ascii="宋体" w:hAnsi="宋体" w:eastAsia="宋体" w:cs="宋体"/>
          <w:b/>
          <w:bCs/>
          <w:color w:val="auto"/>
          <w:sz w:val="21"/>
          <w:szCs w:val="21"/>
          <w:highlight w:val="none"/>
          <w:lang w:val="zh-CN" w:eastAsia="zh-CN"/>
        </w:rPr>
        <w:t>总额填报上一年度数据，无上一年度数据的新成立企业可不填报。</w:t>
      </w:r>
    </w:p>
    <w:p w14:paraId="6E686399">
      <w:pPr>
        <w:tabs>
          <w:tab w:val="left" w:pos="1021"/>
        </w:tabs>
        <w:ind w:firstLine="422" w:firstLineChars="200"/>
        <w:jc w:val="both"/>
        <w:rPr>
          <w:rFonts w:hint="eastAsia" w:ascii="宋体" w:hAnsi="宋体" w:eastAsia="宋体" w:cs="宋体"/>
          <w:b/>
          <w:bCs/>
          <w:color w:val="auto"/>
          <w:sz w:val="21"/>
          <w:szCs w:val="21"/>
          <w:highlight w:val="none"/>
          <w:lang w:val="zh-CN" w:eastAsia="zh-CN"/>
        </w:rPr>
      </w:pPr>
      <w:r>
        <w:rPr>
          <w:rFonts w:hint="eastAsia" w:ascii="宋体" w:hAnsi="宋体" w:eastAsia="宋体" w:cs="宋体"/>
          <w:b/>
          <w:bCs/>
          <w:color w:val="auto"/>
          <w:sz w:val="21"/>
          <w:szCs w:val="21"/>
          <w:highlight w:val="none"/>
          <w:lang w:val="zh-CN" w:eastAsia="zh-CN"/>
        </w:rPr>
        <w:t>注：</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zh-CN" w:eastAsia="zh-CN"/>
        </w:rPr>
        <w:t>投标人根据附件资料及公司实际情况如实填写《中小企业声明函》，未提供《中小企业声明函》的在价格评分时不对投标报价进行扣除。不是中小企业不需填写此表。</w:t>
      </w:r>
    </w:p>
    <w:p w14:paraId="2C890A3B">
      <w:pPr>
        <w:ind w:firstLine="422" w:firstLineChars="200"/>
        <w:outlineLvl w:val="9"/>
        <w:rPr>
          <w:rFonts w:hint="eastAsia" w:ascii="宋体" w:hAnsi="宋体" w:eastAsia="宋体" w:cs="宋体"/>
          <w:color w:val="auto"/>
          <w:highlight w:val="none"/>
          <w:lang w:val="zh-CN" w:eastAsia="zh-CN"/>
        </w:rPr>
      </w:pPr>
      <w:r>
        <w:rPr>
          <w:rFonts w:hint="eastAsia" w:ascii="宋体" w:hAnsi="宋体" w:eastAsia="宋体" w:cs="宋体"/>
          <w:b/>
          <w:bCs/>
          <w:color w:val="auto"/>
          <w:kern w:val="0"/>
          <w:sz w:val="21"/>
          <w:szCs w:val="21"/>
          <w:highlight w:val="none"/>
          <w:lang w:val="en-US" w:eastAsia="zh-CN" w:bidi="ar-SA"/>
        </w:rPr>
        <w:t>2</w:t>
      </w:r>
      <w:r>
        <w:rPr>
          <w:rFonts w:hint="eastAsia" w:ascii="宋体" w:hAnsi="宋体" w:eastAsia="宋体" w:cs="宋体"/>
          <w:b/>
          <w:bCs/>
          <w:color w:val="auto"/>
          <w:kern w:val="0"/>
          <w:sz w:val="21"/>
          <w:szCs w:val="21"/>
          <w:highlight w:val="none"/>
          <w:lang w:val="zh-CN" w:eastAsia="zh-CN" w:bidi="ar-SA"/>
        </w:rPr>
        <w:t>.若采购项目包含多个标的物的，须按第五章“货物需求及技术要求”逐项将货物制造商的相关信息全部列入《中小企业声明函》。</w:t>
      </w:r>
    </w:p>
    <w:p w14:paraId="04E75A43">
      <w:pPr>
        <w:tabs>
          <w:tab w:val="left" w:pos="1021"/>
        </w:tabs>
        <w:jc w:val="center"/>
        <w:outlineLvl w:val="3"/>
        <w:rPr>
          <w:rFonts w:hint="eastAsia" w:ascii="宋体" w:hAnsi="宋体" w:eastAsia="宋体" w:cs="宋体"/>
          <w:b/>
          <w:bCs/>
          <w:color w:val="auto"/>
          <w:sz w:val="32"/>
          <w:szCs w:val="32"/>
          <w:highlight w:val="none"/>
          <w:lang w:val="en-US" w:eastAsia="zh-CN"/>
        </w:rPr>
      </w:pPr>
    </w:p>
    <w:p w14:paraId="3698DB2B">
      <w:pPr>
        <w:tabs>
          <w:tab w:val="left" w:pos="1021"/>
        </w:tabs>
        <w:jc w:val="center"/>
        <w:outlineLvl w:val="3"/>
        <w:rPr>
          <w:rFonts w:hint="eastAsia" w:ascii="宋体" w:hAnsi="宋体" w:eastAsia="宋体" w:cs="宋体"/>
          <w:b/>
          <w:bCs/>
          <w:color w:val="auto"/>
          <w:sz w:val="32"/>
          <w:szCs w:val="32"/>
          <w:highlight w:val="none"/>
          <w:lang w:val="en-US" w:eastAsia="zh-CN"/>
        </w:rPr>
      </w:pPr>
    </w:p>
    <w:p w14:paraId="72A39B03">
      <w:pPr>
        <w:tabs>
          <w:tab w:val="left" w:pos="1021"/>
        </w:tabs>
        <w:jc w:val="center"/>
        <w:outlineLvl w:val="3"/>
        <w:rPr>
          <w:rFonts w:hint="eastAsia" w:ascii="宋体" w:hAnsi="宋体" w:eastAsia="宋体" w:cs="宋体"/>
          <w:b/>
          <w:bCs/>
          <w:color w:val="auto"/>
          <w:sz w:val="32"/>
          <w:szCs w:val="32"/>
          <w:highlight w:val="none"/>
          <w:lang w:val="en-US" w:eastAsia="zh-CN"/>
        </w:rPr>
      </w:pPr>
    </w:p>
    <w:p w14:paraId="542E53B8">
      <w:pPr>
        <w:tabs>
          <w:tab w:val="left" w:pos="1021"/>
        </w:tabs>
        <w:jc w:val="center"/>
        <w:outlineLvl w:val="3"/>
        <w:rPr>
          <w:rFonts w:hint="eastAsia" w:ascii="宋体" w:hAnsi="宋体" w:eastAsia="宋体" w:cs="宋体"/>
          <w:b/>
          <w:bCs/>
          <w:color w:val="auto"/>
          <w:sz w:val="32"/>
          <w:szCs w:val="32"/>
          <w:highlight w:val="none"/>
          <w:lang w:val="en-US" w:eastAsia="zh-CN"/>
        </w:rPr>
      </w:pPr>
    </w:p>
    <w:p w14:paraId="3AE8F512">
      <w:pPr>
        <w:tabs>
          <w:tab w:val="left" w:pos="1021"/>
        </w:tabs>
        <w:jc w:val="center"/>
        <w:outlineLvl w:val="3"/>
        <w:rPr>
          <w:rFonts w:hint="eastAsia" w:ascii="宋体" w:hAnsi="宋体" w:eastAsia="宋体" w:cs="宋体"/>
          <w:b/>
          <w:bCs/>
          <w:color w:val="auto"/>
          <w:sz w:val="32"/>
          <w:szCs w:val="32"/>
          <w:highlight w:val="none"/>
          <w:lang w:val="en-US" w:eastAsia="zh-CN"/>
        </w:rPr>
      </w:pPr>
    </w:p>
    <w:p w14:paraId="75FAC90F">
      <w:pPr>
        <w:tabs>
          <w:tab w:val="left" w:pos="1021"/>
        </w:tabs>
        <w:jc w:val="center"/>
        <w:outlineLvl w:val="3"/>
        <w:rPr>
          <w:rFonts w:hint="eastAsia" w:ascii="宋体" w:hAnsi="宋体" w:eastAsia="宋体" w:cs="宋体"/>
          <w:color w:val="auto"/>
          <w:szCs w:val="30"/>
          <w:highlight w:val="none"/>
          <w:lang w:val="zh-CN" w:eastAsia="zh-CN"/>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val="zh-CN" w:eastAsia="zh-CN"/>
        </w:rPr>
        <w:t>残疾人福利性单位声明函</w:t>
      </w:r>
    </w:p>
    <w:p w14:paraId="6B48F44B">
      <w:pPr>
        <w:pStyle w:val="6"/>
        <w:ind w:firstLine="480"/>
        <w:rPr>
          <w:rFonts w:hint="eastAsia" w:ascii="宋体" w:hAnsi="宋体" w:eastAsia="宋体" w:cs="宋体"/>
          <w:color w:val="auto"/>
          <w:highlight w:val="none"/>
          <w:lang w:val="zh-CN" w:eastAsia="zh-CN"/>
        </w:rPr>
      </w:pPr>
    </w:p>
    <w:p w14:paraId="3C28E2D7">
      <w:pPr>
        <w:spacing w:line="500" w:lineRule="exact"/>
        <w:ind w:firstLine="420" w:firstLineChars="200"/>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20130B">
      <w:pPr>
        <w:spacing w:line="500" w:lineRule="exact"/>
        <w:ind w:firstLine="420" w:firstLineChars="200"/>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本单位对上述声明的真实性负责。如有虚假，将依法承担相应责任。</w:t>
      </w:r>
    </w:p>
    <w:p w14:paraId="2E472AF4">
      <w:pPr>
        <w:spacing w:line="500" w:lineRule="exact"/>
        <w:ind w:firstLine="420" w:firstLineChars="200"/>
        <w:rPr>
          <w:rFonts w:hint="eastAsia" w:ascii="宋体" w:hAnsi="宋体" w:eastAsia="宋体" w:cs="宋体"/>
          <w:color w:val="auto"/>
          <w:kern w:val="1"/>
          <w:szCs w:val="21"/>
          <w:highlight w:val="none"/>
          <w:lang w:eastAsia="zh-CN"/>
        </w:rPr>
      </w:pPr>
    </w:p>
    <w:p w14:paraId="4F8B9084">
      <w:pPr>
        <w:spacing w:line="500" w:lineRule="exact"/>
        <w:ind w:firstLine="420" w:firstLineChars="200"/>
        <w:rPr>
          <w:rFonts w:hint="eastAsia" w:ascii="宋体" w:hAnsi="宋体" w:eastAsia="宋体" w:cs="宋体"/>
          <w:color w:val="auto"/>
          <w:kern w:val="1"/>
          <w:szCs w:val="21"/>
          <w:highlight w:val="none"/>
          <w:lang w:eastAsia="zh-CN"/>
        </w:rPr>
      </w:pPr>
    </w:p>
    <w:p w14:paraId="1B9CFE1D">
      <w:pPr>
        <w:spacing w:line="500" w:lineRule="exact"/>
        <w:jc w:val="center"/>
        <w:rPr>
          <w:rFonts w:hint="eastAsia" w:ascii="宋体" w:hAnsi="宋体" w:eastAsia="宋体" w:cs="宋体"/>
          <w:b/>
          <w:color w:val="auto"/>
          <w:kern w:val="1"/>
          <w:sz w:val="22"/>
          <w:szCs w:val="22"/>
          <w:highlight w:val="none"/>
          <w:lang w:eastAsia="zh-CN"/>
        </w:rPr>
      </w:pPr>
      <w:r>
        <w:rPr>
          <w:rFonts w:hint="eastAsia" w:ascii="宋体" w:hAnsi="宋体" w:eastAsia="宋体" w:cs="宋体"/>
          <w:b/>
          <w:color w:val="auto"/>
          <w:kern w:val="1"/>
          <w:sz w:val="18"/>
          <w:szCs w:val="18"/>
          <w:highlight w:val="none"/>
          <w:lang w:eastAsia="zh-CN"/>
        </w:rPr>
        <w:t xml:space="preserve">                          </w:t>
      </w:r>
      <w:r>
        <w:rPr>
          <w:rFonts w:hint="eastAsia" w:ascii="宋体" w:hAnsi="宋体" w:eastAsia="宋体" w:cs="宋体"/>
          <w:b/>
          <w:color w:val="auto"/>
          <w:kern w:val="1"/>
          <w:sz w:val="18"/>
          <w:szCs w:val="18"/>
          <w:highlight w:val="none"/>
          <w:lang w:val="en-US" w:eastAsia="zh-CN"/>
        </w:rPr>
        <w:t xml:space="preserve"> </w:t>
      </w:r>
      <w:r>
        <w:rPr>
          <w:rFonts w:hint="eastAsia" w:ascii="宋体" w:hAnsi="宋体" w:eastAsia="宋体" w:cs="宋体"/>
          <w:b/>
          <w:color w:val="auto"/>
          <w:kern w:val="1"/>
          <w:sz w:val="22"/>
          <w:szCs w:val="22"/>
          <w:highlight w:val="none"/>
          <w:lang w:eastAsia="zh-CN"/>
        </w:rPr>
        <w:t xml:space="preserve"> 投标人：</w:t>
      </w:r>
      <w:r>
        <w:rPr>
          <w:rFonts w:hint="eastAsia" w:ascii="宋体" w:hAnsi="宋体" w:eastAsia="宋体" w:cs="宋体"/>
          <w:b/>
          <w:color w:val="auto"/>
          <w:kern w:val="1"/>
          <w:sz w:val="22"/>
          <w:szCs w:val="22"/>
          <w:highlight w:val="none"/>
          <w:u w:val="single"/>
          <w:lang w:eastAsia="zh-CN"/>
        </w:rPr>
        <w:t xml:space="preserve">        </w:t>
      </w:r>
      <w:r>
        <w:rPr>
          <w:rFonts w:hint="eastAsia" w:ascii="宋体" w:hAnsi="宋体" w:eastAsia="宋体" w:cs="宋体"/>
          <w:b/>
          <w:color w:val="auto"/>
          <w:kern w:val="1"/>
          <w:sz w:val="22"/>
          <w:szCs w:val="22"/>
          <w:highlight w:val="none"/>
          <w:u w:val="single"/>
          <w:lang w:val="en-US" w:eastAsia="zh-CN"/>
        </w:rPr>
        <w:t xml:space="preserve">  </w:t>
      </w:r>
      <w:r>
        <w:rPr>
          <w:rFonts w:hint="eastAsia" w:ascii="宋体" w:hAnsi="宋体" w:eastAsia="宋体" w:cs="宋体"/>
          <w:b/>
          <w:color w:val="auto"/>
          <w:kern w:val="1"/>
          <w:sz w:val="22"/>
          <w:szCs w:val="22"/>
          <w:highlight w:val="none"/>
          <w:u w:val="single"/>
          <w:lang w:eastAsia="zh-CN"/>
        </w:rPr>
        <w:t xml:space="preserve">       </w:t>
      </w:r>
      <w:r>
        <w:rPr>
          <w:rFonts w:hint="eastAsia" w:ascii="宋体" w:hAnsi="宋体" w:eastAsia="宋体" w:cs="宋体"/>
          <w:b/>
          <w:color w:val="auto"/>
          <w:kern w:val="1"/>
          <w:sz w:val="22"/>
          <w:szCs w:val="22"/>
          <w:highlight w:val="none"/>
          <w:u w:val="single"/>
          <w:lang w:val="en-US" w:eastAsia="zh-CN"/>
        </w:rPr>
        <w:t xml:space="preserve">      </w:t>
      </w:r>
      <w:r>
        <w:rPr>
          <w:rFonts w:hint="eastAsia" w:ascii="宋体" w:hAnsi="宋体" w:eastAsia="宋体" w:cs="宋体"/>
          <w:b/>
          <w:color w:val="auto"/>
          <w:kern w:val="1"/>
          <w:sz w:val="22"/>
          <w:szCs w:val="22"/>
          <w:highlight w:val="none"/>
          <w:u w:val="single"/>
          <w:lang w:eastAsia="zh-CN"/>
        </w:rPr>
        <w:t xml:space="preserve">       </w:t>
      </w:r>
      <w:r>
        <w:rPr>
          <w:rFonts w:hint="eastAsia" w:ascii="宋体" w:hAnsi="宋体" w:eastAsia="宋体" w:cs="宋体"/>
          <w:b/>
          <w:color w:val="auto"/>
          <w:kern w:val="1"/>
          <w:sz w:val="22"/>
          <w:szCs w:val="22"/>
          <w:highlight w:val="none"/>
          <w:lang w:eastAsia="zh-CN"/>
        </w:rPr>
        <w:t xml:space="preserve">（盖章） </w:t>
      </w:r>
    </w:p>
    <w:p w14:paraId="7A80F4B4">
      <w:pPr>
        <w:spacing w:line="500" w:lineRule="exact"/>
        <w:jc w:val="right"/>
        <w:rPr>
          <w:rFonts w:hint="eastAsia" w:ascii="宋体" w:hAnsi="宋体" w:eastAsia="宋体" w:cs="宋体"/>
          <w:b/>
          <w:color w:val="auto"/>
          <w:kern w:val="1"/>
          <w:sz w:val="22"/>
          <w:szCs w:val="22"/>
          <w:highlight w:val="none"/>
          <w:lang w:eastAsia="zh-CN"/>
        </w:rPr>
      </w:pPr>
      <w:r>
        <w:rPr>
          <w:rFonts w:hint="eastAsia" w:ascii="宋体" w:hAnsi="宋体" w:eastAsia="宋体" w:cs="宋体"/>
          <w:b/>
          <w:color w:val="auto"/>
          <w:kern w:val="1"/>
          <w:sz w:val="22"/>
          <w:szCs w:val="22"/>
          <w:highlight w:val="none"/>
          <w:lang w:eastAsia="zh-CN"/>
        </w:rPr>
        <w:t>法定代表人或其委托代理人：</w:t>
      </w:r>
      <w:r>
        <w:rPr>
          <w:rFonts w:hint="eastAsia" w:ascii="宋体" w:hAnsi="宋体" w:eastAsia="宋体" w:cs="宋体"/>
          <w:b/>
          <w:color w:val="auto"/>
          <w:kern w:val="1"/>
          <w:sz w:val="22"/>
          <w:szCs w:val="22"/>
          <w:highlight w:val="none"/>
          <w:u w:val="single"/>
          <w:lang w:eastAsia="zh-CN"/>
        </w:rPr>
        <w:t xml:space="preserve">            </w:t>
      </w:r>
      <w:r>
        <w:rPr>
          <w:rFonts w:hint="eastAsia" w:ascii="宋体" w:hAnsi="宋体" w:eastAsia="宋体" w:cs="宋体"/>
          <w:b/>
          <w:color w:val="auto"/>
          <w:kern w:val="1"/>
          <w:sz w:val="22"/>
          <w:szCs w:val="22"/>
          <w:highlight w:val="none"/>
          <w:lang w:eastAsia="zh-CN"/>
        </w:rPr>
        <w:t>（签字或盖章）</w:t>
      </w:r>
    </w:p>
    <w:p w14:paraId="7C702510">
      <w:pPr>
        <w:spacing w:line="500" w:lineRule="exact"/>
        <w:jc w:val="center"/>
        <w:rPr>
          <w:rFonts w:hint="eastAsia" w:ascii="宋体" w:hAnsi="宋体" w:eastAsia="宋体" w:cs="宋体"/>
          <w:b/>
          <w:color w:val="auto"/>
          <w:kern w:val="1"/>
          <w:sz w:val="22"/>
          <w:szCs w:val="22"/>
          <w:highlight w:val="none"/>
          <w:lang w:eastAsia="zh-CN"/>
        </w:rPr>
      </w:pPr>
      <w:r>
        <w:rPr>
          <w:rFonts w:hint="eastAsia" w:ascii="宋体" w:hAnsi="宋体" w:eastAsia="宋体" w:cs="宋体"/>
          <w:b/>
          <w:color w:val="auto"/>
          <w:kern w:val="1"/>
          <w:sz w:val="22"/>
          <w:szCs w:val="22"/>
          <w:highlight w:val="none"/>
          <w:lang w:eastAsia="zh-CN"/>
        </w:rPr>
        <w:t xml:space="preserve">                              </w:t>
      </w:r>
      <w:r>
        <w:rPr>
          <w:rFonts w:hint="eastAsia" w:ascii="宋体" w:hAnsi="宋体" w:eastAsia="宋体" w:cs="宋体"/>
          <w:b/>
          <w:color w:val="auto"/>
          <w:kern w:val="1"/>
          <w:sz w:val="22"/>
          <w:szCs w:val="22"/>
          <w:highlight w:val="none"/>
          <w:u w:val="single"/>
          <w:lang w:eastAsia="zh-CN"/>
        </w:rPr>
        <w:tab/>
      </w:r>
      <w:r>
        <w:rPr>
          <w:rFonts w:hint="eastAsia" w:ascii="宋体" w:hAnsi="宋体" w:eastAsia="宋体" w:cs="宋体"/>
          <w:b/>
          <w:color w:val="auto"/>
          <w:kern w:val="1"/>
          <w:sz w:val="22"/>
          <w:szCs w:val="22"/>
          <w:highlight w:val="none"/>
          <w:u w:val="single"/>
          <w:lang w:eastAsia="zh-CN"/>
        </w:rPr>
        <w:t xml:space="preserve">    </w:t>
      </w:r>
      <w:r>
        <w:rPr>
          <w:rFonts w:hint="eastAsia" w:ascii="宋体" w:hAnsi="宋体" w:eastAsia="宋体" w:cs="宋体"/>
          <w:b/>
          <w:color w:val="auto"/>
          <w:kern w:val="1"/>
          <w:sz w:val="22"/>
          <w:szCs w:val="22"/>
          <w:highlight w:val="none"/>
          <w:lang w:eastAsia="zh-CN"/>
        </w:rPr>
        <w:t>年</w:t>
      </w:r>
      <w:r>
        <w:rPr>
          <w:rFonts w:hint="eastAsia" w:ascii="宋体" w:hAnsi="宋体" w:eastAsia="宋体" w:cs="宋体"/>
          <w:b/>
          <w:color w:val="auto"/>
          <w:kern w:val="1"/>
          <w:sz w:val="22"/>
          <w:szCs w:val="22"/>
          <w:highlight w:val="none"/>
          <w:u w:val="single"/>
          <w:lang w:eastAsia="zh-CN"/>
        </w:rPr>
        <w:t xml:space="preserve"> </w:t>
      </w:r>
      <w:r>
        <w:rPr>
          <w:rFonts w:hint="eastAsia" w:ascii="宋体" w:hAnsi="宋体" w:eastAsia="宋体" w:cs="宋体"/>
          <w:b/>
          <w:color w:val="auto"/>
          <w:kern w:val="1"/>
          <w:sz w:val="22"/>
          <w:szCs w:val="22"/>
          <w:highlight w:val="none"/>
          <w:u w:val="single"/>
          <w:lang w:eastAsia="zh-CN"/>
        </w:rPr>
        <w:tab/>
      </w:r>
      <w:r>
        <w:rPr>
          <w:rFonts w:hint="eastAsia" w:ascii="宋体" w:hAnsi="宋体" w:eastAsia="宋体" w:cs="宋体"/>
          <w:b/>
          <w:color w:val="auto"/>
          <w:kern w:val="1"/>
          <w:sz w:val="22"/>
          <w:szCs w:val="22"/>
          <w:highlight w:val="none"/>
          <w:u w:val="single"/>
          <w:lang w:eastAsia="zh-CN"/>
        </w:rPr>
        <w:t xml:space="preserve">  </w:t>
      </w:r>
      <w:r>
        <w:rPr>
          <w:rFonts w:hint="eastAsia" w:ascii="宋体" w:hAnsi="宋体" w:eastAsia="宋体" w:cs="宋体"/>
          <w:b/>
          <w:color w:val="auto"/>
          <w:kern w:val="1"/>
          <w:sz w:val="22"/>
          <w:szCs w:val="22"/>
          <w:highlight w:val="none"/>
          <w:lang w:eastAsia="zh-CN"/>
        </w:rPr>
        <w:t>月</w:t>
      </w:r>
      <w:r>
        <w:rPr>
          <w:rFonts w:hint="eastAsia" w:ascii="宋体" w:hAnsi="宋体" w:eastAsia="宋体" w:cs="宋体"/>
          <w:b/>
          <w:color w:val="auto"/>
          <w:kern w:val="1"/>
          <w:sz w:val="22"/>
          <w:szCs w:val="22"/>
          <w:highlight w:val="none"/>
          <w:u w:val="single"/>
          <w:lang w:eastAsia="zh-CN"/>
        </w:rPr>
        <w:t xml:space="preserve">  </w:t>
      </w:r>
      <w:r>
        <w:rPr>
          <w:rFonts w:hint="eastAsia" w:ascii="宋体" w:hAnsi="宋体" w:eastAsia="宋体" w:cs="宋体"/>
          <w:b/>
          <w:color w:val="auto"/>
          <w:kern w:val="1"/>
          <w:sz w:val="22"/>
          <w:szCs w:val="22"/>
          <w:highlight w:val="none"/>
          <w:u w:val="single"/>
          <w:lang w:eastAsia="zh-CN"/>
        </w:rPr>
        <w:tab/>
      </w:r>
      <w:r>
        <w:rPr>
          <w:rFonts w:hint="eastAsia" w:ascii="宋体" w:hAnsi="宋体" w:eastAsia="宋体" w:cs="宋体"/>
          <w:b/>
          <w:color w:val="auto"/>
          <w:kern w:val="1"/>
          <w:sz w:val="22"/>
          <w:szCs w:val="22"/>
          <w:highlight w:val="none"/>
          <w:lang w:eastAsia="zh-CN"/>
        </w:rPr>
        <w:t>日</w:t>
      </w:r>
    </w:p>
    <w:p w14:paraId="5F64C4EA">
      <w:pPr>
        <w:spacing w:line="500" w:lineRule="exact"/>
        <w:rPr>
          <w:rFonts w:hint="eastAsia" w:ascii="宋体" w:hAnsi="宋体" w:eastAsia="宋体" w:cs="宋体"/>
          <w:b/>
          <w:color w:val="auto"/>
          <w:kern w:val="1"/>
          <w:sz w:val="22"/>
          <w:szCs w:val="22"/>
          <w:highlight w:val="none"/>
          <w:lang w:eastAsia="zh-CN"/>
        </w:rPr>
      </w:pPr>
      <w:r>
        <w:rPr>
          <w:rFonts w:hint="eastAsia" w:ascii="宋体" w:hAnsi="宋体" w:eastAsia="宋体" w:cs="宋体"/>
          <w:b/>
          <w:color w:val="auto"/>
          <w:kern w:val="1"/>
          <w:sz w:val="22"/>
          <w:szCs w:val="22"/>
          <w:highlight w:val="none"/>
          <w:lang w:eastAsia="zh-CN"/>
        </w:rPr>
        <w:t>注：1.若为符合政策规定条件的残疾人福利性单位需填写本声明函；</w:t>
      </w:r>
    </w:p>
    <w:p w14:paraId="7DCE130A">
      <w:pPr>
        <w:adjustRightInd w:val="0"/>
        <w:snapToGrid w:val="0"/>
        <w:spacing w:line="560" w:lineRule="exact"/>
        <w:ind w:firstLine="552" w:firstLineChars="250"/>
        <w:rPr>
          <w:rFonts w:hint="eastAsia" w:ascii="宋体" w:hAnsi="宋体" w:eastAsia="宋体" w:cs="宋体"/>
          <w:snapToGrid w:val="0"/>
          <w:color w:val="auto"/>
          <w:szCs w:val="21"/>
          <w:highlight w:val="none"/>
          <w:lang w:eastAsia="zh-CN"/>
        </w:rPr>
      </w:pPr>
      <w:r>
        <w:rPr>
          <w:rFonts w:hint="eastAsia" w:ascii="宋体" w:hAnsi="宋体" w:eastAsia="宋体" w:cs="宋体"/>
          <w:b/>
          <w:color w:val="auto"/>
          <w:kern w:val="1"/>
          <w:sz w:val="22"/>
          <w:szCs w:val="22"/>
          <w:highlight w:val="none"/>
          <w:lang w:eastAsia="zh-CN"/>
        </w:rPr>
        <w:t>2.不享受残疾人福利性单位优先政策的供应商不需填写此表。</w:t>
      </w:r>
    </w:p>
    <w:p w14:paraId="13BF7EBF">
      <w:pPr>
        <w:adjustRightInd w:val="0"/>
        <w:snapToGrid w:val="0"/>
        <w:spacing w:line="560" w:lineRule="exact"/>
        <w:ind w:firstLine="525" w:firstLineChars="250"/>
        <w:rPr>
          <w:rFonts w:hint="eastAsia" w:ascii="宋体" w:hAnsi="宋体" w:eastAsia="宋体" w:cs="宋体"/>
          <w:snapToGrid w:val="0"/>
          <w:color w:val="auto"/>
          <w:szCs w:val="21"/>
          <w:highlight w:val="none"/>
          <w:lang w:eastAsia="zh-CN"/>
        </w:rPr>
      </w:pPr>
    </w:p>
    <w:p w14:paraId="34918ACE">
      <w:pPr>
        <w:adjustRightInd w:val="0"/>
        <w:snapToGrid w:val="0"/>
        <w:spacing w:line="560" w:lineRule="exact"/>
        <w:ind w:firstLine="525" w:firstLineChars="250"/>
        <w:rPr>
          <w:rFonts w:hint="eastAsia" w:ascii="宋体" w:hAnsi="宋体" w:eastAsia="宋体" w:cs="宋体"/>
          <w:snapToGrid w:val="0"/>
          <w:color w:val="auto"/>
          <w:szCs w:val="21"/>
          <w:highlight w:val="none"/>
          <w:lang w:eastAsia="zh-CN"/>
        </w:rPr>
      </w:pPr>
    </w:p>
    <w:p w14:paraId="0E0D7D0C">
      <w:pPr>
        <w:adjustRightInd w:val="0"/>
        <w:snapToGrid w:val="0"/>
        <w:spacing w:line="560" w:lineRule="exact"/>
        <w:ind w:firstLine="525" w:firstLineChars="250"/>
        <w:rPr>
          <w:rFonts w:hint="eastAsia" w:ascii="宋体" w:hAnsi="宋体" w:eastAsia="宋体" w:cs="宋体"/>
          <w:snapToGrid w:val="0"/>
          <w:color w:val="auto"/>
          <w:szCs w:val="21"/>
          <w:highlight w:val="none"/>
          <w:lang w:eastAsia="zh-CN"/>
        </w:rPr>
      </w:pPr>
    </w:p>
    <w:p w14:paraId="10AF9FD3">
      <w:pPr>
        <w:adjustRightInd w:val="0"/>
        <w:snapToGrid w:val="0"/>
        <w:spacing w:line="560" w:lineRule="exact"/>
        <w:ind w:firstLine="525" w:firstLineChars="250"/>
        <w:rPr>
          <w:rFonts w:hint="eastAsia" w:ascii="宋体" w:hAnsi="宋体" w:eastAsia="宋体" w:cs="宋体"/>
          <w:snapToGrid w:val="0"/>
          <w:color w:val="auto"/>
          <w:szCs w:val="21"/>
          <w:highlight w:val="none"/>
          <w:lang w:eastAsia="zh-CN"/>
        </w:rPr>
      </w:pPr>
    </w:p>
    <w:p w14:paraId="172C1645">
      <w:pPr>
        <w:pStyle w:val="2"/>
        <w:rPr>
          <w:rFonts w:hint="eastAsia" w:ascii="宋体" w:hAnsi="宋体" w:eastAsia="宋体" w:cs="宋体"/>
          <w:snapToGrid w:val="0"/>
          <w:color w:val="auto"/>
          <w:szCs w:val="21"/>
          <w:highlight w:val="none"/>
          <w:lang w:eastAsia="zh-CN"/>
        </w:rPr>
      </w:pPr>
    </w:p>
    <w:p w14:paraId="2A9B00F4">
      <w:pPr>
        <w:pStyle w:val="2"/>
        <w:rPr>
          <w:rFonts w:hint="eastAsia" w:ascii="宋体" w:hAnsi="宋体" w:eastAsia="宋体" w:cs="宋体"/>
          <w:snapToGrid w:val="0"/>
          <w:color w:val="auto"/>
          <w:szCs w:val="21"/>
          <w:highlight w:val="none"/>
          <w:lang w:eastAsia="zh-CN"/>
        </w:rPr>
      </w:pPr>
    </w:p>
    <w:p w14:paraId="6B4F2A01">
      <w:pPr>
        <w:spacing w:after="0" w:line="360" w:lineRule="auto"/>
        <w:jc w:val="center"/>
        <w:outlineLvl w:val="3"/>
        <w:rPr>
          <w:rFonts w:hint="eastAsia" w:ascii="宋体" w:hAnsi="宋体" w:eastAsia="宋体" w:cs="宋体"/>
          <w:b/>
          <w:bCs/>
          <w:color w:val="auto"/>
          <w:sz w:val="32"/>
          <w:szCs w:val="32"/>
          <w:highlight w:val="none"/>
          <w:lang w:val="en-US" w:eastAsia="zh-CN"/>
        </w:rPr>
      </w:pPr>
    </w:p>
    <w:p w14:paraId="588EF2C5">
      <w:pPr>
        <w:spacing w:after="0" w:line="360" w:lineRule="auto"/>
        <w:jc w:val="center"/>
        <w:outlineLvl w:val="3"/>
        <w:rPr>
          <w:rFonts w:hint="eastAsia" w:ascii="宋体" w:hAnsi="宋体" w:eastAsia="宋体" w:cs="宋体"/>
          <w:b/>
          <w:bCs/>
          <w:color w:val="auto"/>
          <w:sz w:val="32"/>
          <w:szCs w:val="32"/>
          <w:highlight w:val="none"/>
          <w:lang w:val="en-US" w:eastAsia="zh-CN"/>
        </w:rPr>
      </w:pPr>
    </w:p>
    <w:p w14:paraId="72DDE918">
      <w:pPr>
        <w:spacing w:after="0" w:line="360" w:lineRule="auto"/>
        <w:jc w:val="center"/>
        <w:outlineLvl w:val="3"/>
        <w:rPr>
          <w:rFonts w:hint="eastAsia" w:ascii="宋体" w:hAnsi="宋体" w:eastAsia="宋体" w:cs="宋体"/>
          <w:b/>
          <w:bCs/>
          <w:color w:val="auto"/>
          <w:sz w:val="32"/>
          <w:szCs w:val="32"/>
          <w:highlight w:val="none"/>
          <w:lang w:val="en-US" w:eastAsia="zh-CN"/>
        </w:rPr>
      </w:pPr>
    </w:p>
    <w:p w14:paraId="5B5592B1">
      <w:pPr>
        <w:spacing w:after="0" w:line="360" w:lineRule="auto"/>
        <w:jc w:val="center"/>
        <w:outlineLvl w:val="3"/>
        <w:rPr>
          <w:rFonts w:hint="eastAsia" w:ascii="宋体" w:hAnsi="宋体" w:eastAsia="宋体" w:cs="宋体"/>
          <w:b/>
          <w:bCs/>
          <w:color w:val="auto"/>
          <w:sz w:val="32"/>
          <w:szCs w:val="32"/>
          <w:highlight w:val="none"/>
          <w:lang w:val="en-US" w:eastAsia="zh-CN"/>
        </w:rPr>
      </w:pPr>
    </w:p>
    <w:p w14:paraId="581854B2">
      <w:pPr>
        <w:spacing w:after="0" w:line="360" w:lineRule="auto"/>
        <w:jc w:val="center"/>
        <w:outlineLvl w:val="3"/>
        <w:rPr>
          <w:rFonts w:hint="eastAsia" w:ascii="宋体" w:hAnsi="宋体" w:eastAsia="宋体" w:cs="宋体"/>
          <w:b/>
          <w:bCs/>
          <w:color w:val="auto"/>
          <w:sz w:val="32"/>
          <w:szCs w:val="32"/>
          <w:highlight w:val="none"/>
          <w:lang w:val="en-US" w:eastAsia="zh-CN"/>
        </w:rPr>
      </w:pPr>
    </w:p>
    <w:p w14:paraId="02B56D13">
      <w:pPr>
        <w:spacing w:after="0" w:line="360" w:lineRule="auto"/>
        <w:jc w:val="center"/>
        <w:outlineLvl w:val="3"/>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lang w:eastAsia="zh-CN"/>
        </w:rPr>
        <w:t>监狱企业声明函</w:t>
      </w:r>
    </w:p>
    <w:p w14:paraId="482E529B">
      <w:pPr>
        <w:spacing w:line="360" w:lineRule="auto"/>
        <w:ind w:firstLine="420" w:firstLineChars="200"/>
        <w:rPr>
          <w:rStyle w:val="34"/>
          <w:rFonts w:hint="eastAsia" w:ascii="宋体" w:hAnsi="宋体" w:eastAsia="宋体" w:cs="宋体"/>
          <w:color w:val="auto"/>
          <w:sz w:val="21"/>
          <w:highlight w:val="none"/>
          <w:lang w:eastAsia="zh-CN"/>
        </w:rPr>
      </w:pPr>
      <w:r>
        <w:rPr>
          <w:rStyle w:val="34"/>
          <w:rFonts w:hint="eastAsia" w:ascii="宋体" w:hAnsi="宋体" w:eastAsia="宋体" w:cs="宋体"/>
          <w:color w:val="auto"/>
          <w:sz w:val="21"/>
          <w:highlight w:val="none"/>
          <w:lang w:eastAsia="zh-CN"/>
        </w:rPr>
        <w:t>公司郑重声明，根据《关于政府采购支持监狱企业发展有关问题的通知》 （财库[2014]68号）的规定，本公司为监狱企业。</w:t>
      </w:r>
    </w:p>
    <w:p w14:paraId="1F914796">
      <w:pPr>
        <w:spacing w:line="360" w:lineRule="auto"/>
        <w:ind w:firstLine="420" w:firstLineChars="200"/>
        <w:rPr>
          <w:rStyle w:val="34"/>
          <w:rFonts w:hint="eastAsia" w:ascii="宋体" w:hAnsi="宋体" w:eastAsia="宋体" w:cs="宋体"/>
          <w:color w:val="auto"/>
          <w:sz w:val="21"/>
          <w:highlight w:val="none"/>
          <w:lang w:eastAsia="zh-CN"/>
        </w:rPr>
      </w:pPr>
      <w:r>
        <w:rPr>
          <w:rStyle w:val="34"/>
          <w:rFonts w:hint="eastAsia" w:ascii="宋体" w:hAnsi="宋体" w:eastAsia="宋体" w:cs="宋体"/>
          <w:color w:val="auto"/>
          <w:sz w:val="21"/>
          <w:highlight w:val="none"/>
          <w:lang w:eastAsia="zh-CN"/>
        </w:rPr>
        <w:t xml:space="preserve">    根据上述标准，我公司属于监狱企业的理由为：</w:t>
      </w:r>
      <w:r>
        <w:rPr>
          <w:rStyle w:val="34"/>
          <w:rFonts w:hint="eastAsia" w:ascii="宋体" w:hAnsi="宋体" w:eastAsia="宋体" w:cs="宋体"/>
          <w:color w:val="auto"/>
          <w:sz w:val="21"/>
          <w:highlight w:val="none"/>
          <w:lang w:val="en-US" w:eastAsia="zh-CN"/>
        </w:rPr>
        <w:t xml:space="preserve">   </w:t>
      </w:r>
      <w:r>
        <w:rPr>
          <w:rStyle w:val="34"/>
          <w:rFonts w:hint="eastAsia" w:ascii="宋体" w:hAnsi="宋体" w:eastAsia="宋体" w:cs="宋体"/>
          <w:color w:val="auto"/>
          <w:sz w:val="21"/>
          <w:highlight w:val="none"/>
          <w:lang w:eastAsia="zh-CN"/>
        </w:rPr>
        <w:t>。</w:t>
      </w:r>
    </w:p>
    <w:p w14:paraId="7672FD92">
      <w:pPr>
        <w:spacing w:line="360" w:lineRule="auto"/>
        <w:ind w:firstLine="420" w:firstLineChars="200"/>
        <w:rPr>
          <w:rStyle w:val="34"/>
          <w:rFonts w:hint="eastAsia" w:ascii="宋体" w:hAnsi="宋体" w:eastAsia="宋体" w:cs="宋体"/>
          <w:color w:val="auto"/>
          <w:sz w:val="21"/>
          <w:highlight w:val="none"/>
          <w:lang w:eastAsia="zh-CN"/>
        </w:rPr>
      </w:pPr>
      <w:r>
        <w:rPr>
          <w:rStyle w:val="34"/>
          <w:rFonts w:hint="eastAsia" w:ascii="宋体" w:hAnsi="宋体" w:eastAsia="宋体" w:cs="宋体"/>
          <w:color w:val="auto"/>
          <w:sz w:val="21"/>
          <w:highlight w:val="none"/>
          <w:lang w:eastAsia="zh-CN"/>
        </w:rPr>
        <w:t xml:space="preserve">本公司为参加 </w:t>
      </w:r>
      <w:r>
        <w:rPr>
          <w:rStyle w:val="34"/>
          <w:rFonts w:hint="eastAsia" w:ascii="宋体" w:hAnsi="宋体" w:eastAsia="宋体" w:cs="宋体"/>
          <w:color w:val="auto"/>
          <w:sz w:val="21"/>
          <w:highlight w:val="none"/>
          <w:u w:val="single"/>
          <w:lang w:eastAsia="zh-CN"/>
        </w:rPr>
        <w:t xml:space="preserve">           （项目名称） </w:t>
      </w:r>
      <w:r>
        <w:rPr>
          <w:rStyle w:val="34"/>
          <w:rFonts w:hint="eastAsia" w:ascii="宋体" w:hAnsi="宋体" w:eastAsia="宋体" w:cs="宋体"/>
          <w:color w:val="auto"/>
          <w:sz w:val="21"/>
          <w:highlight w:val="none"/>
          <w:lang w:eastAsia="zh-CN"/>
        </w:rPr>
        <w:t>（</w:t>
      </w:r>
      <w:r>
        <w:rPr>
          <w:rStyle w:val="34"/>
          <w:rFonts w:hint="eastAsia" w:ascii="宋体" w:hAnsi="宋体" w:eastAsia="宋体" w:cs="宋体"/>
          <w:color w:val="auto"/>
          <w:sz w:val="21"/>
          <w:highlight w:val="none"/>
          <w:lang w:val="en-US" w:eastAsia="zh-CN"/>
        </w:rPr>
        <w:t>项目</w:t>
      </w:r>
      <w:r>
        <w:rPr>
          <w:rStyle w:val="34"/>
          <w:rFonts w:hint="eastAsia" w:ascii="宋体" w:hAnsi="宋体" w:eastAsia="宋体" w:cs="宋体"/>
          <w:color w:val="auto"/>
          <w:sz w:val="21"/>
          <w:highlight w:val="none"/>
          <w:lang w:eastAsia="zh-CN"/>
        </w:rPr>
        <w:t>编号：</w:t>
      </w:r>
      <w:r>
        <w:rPr>
          <w:rStyle w:val="34"/>
          <w:rFonts w:hint="eastAsia" w:ascii="宋体" w:hAnsi="宋体" w:eastAsia="宋体" w:cs="宋体"/>
          <w:color w:val="auto"/>
          <w:sz w:val="21"/>
          <w:highlight w:val="none"/>
          <w:u w:val="single"/>
          <w:lang w:val="en-US" w:eastAsia="zh-CN"/>
        </w:rPr>
        <w:t xml:space="preserve">     </w:t>
      </w:r>
      <w:r>
        <w:rPr>
          <w:rStyle w:val="34"/>
          <w:rFonts w:hint="eastAsia" w:ascii="宋体" w:hAnsi="宋体" w:eastAsia="宋体" w:cs="宋体"/>
          <w:color w:val="auto"/>
          <w:sz w:val="21"/>
          <w:highlight w:val="none"/>
          <w:lang w:eastAsia="zh-CN"/>
        </w:rPr>
        <w:t>）采购活动提供本企业</w:t>
      </w:r>
      <w:r>
        <w:rPr>
          <w:rStyle w:val="34"/>
          <w:rFonts w:hint="eastAsia" w:ascii="宋体" w:hAnsi="宋体" w:eastAsia="宋体" w:cs="宋体"/>
          <w:color w:val="auto"/>
          <w:sz w:val="21"/>
          <w:highlight w:val="none"/>
          <w:u w:val="single"/>
          <w:lang w:eastAsia="zh-CN"/>
        </w:rPr>
        <w:t>（填写制造的货物，由本企业承担工程、提供服务）</w:t>
      </w:r>
      <w:r>
        <w:rPr>
          <w:rStyle w:val="34"/>
          <w:rFonts w:hint="eastAsia" w:ascii="宋体" w:hAnsi="宋体" w:eastAsia="宋体" w:cs="宋体"/>
          <w:color w:val="auto"/>
          <w:sz w:val="21"/>
          <w:highlight w:val="none"/>
          <w:lang w:eastAsia="zh-CN"/>
        </w:rPr>
        <w:t>。</w:t>
      </w:r>
    </w:p>
    <w:p w14:paraId="0BD0DD8F">
      <w:pPr>
        <w:spacing w:line="360" w:lineRule="auto"/>
        <w:ind w:firstLine="420" w:firstLineChars="200"/>
        <w:rPr>
          <w:rStyle w:val="34"/>
          <w:rFonts w:hint="eastAsia" w:ascii="宋体" w:hAnsi="宋体" w:eastAsia="宋体" w:cs="宋体"/>
          <w:color w:val="auto"/>
          <w:sz w:val="21"/>
          <w:highlight w:val="none"/>
          <w:lang w:eastAsia="zh-CN"/>
        </w:rPr>
      </w:pPr>
      <w:r>
        <w:rPr>
          <w:rStyle w:val="34"/>
          <w:rFonts w:hint="eastAsia" w:ascii="宋体" w:hAnsi="宋体" w:eastAsia="宋体" w:cs="宋体"/>
          <w:color w:val="auto"/>
          <w:sz w:val="21"/>
          <w:highlight w:val="none"/>
          <w:lang w:eastAsia="zh-CN"/>
        </w:rPr>
        <w:t xml:space="preserve">    本条所称货物不包括使用大型企业注册商标的货物和服务。</w:t>
      </w:r>
    </w:p>
    <w:p w14:paraId="7EB4125B">
      <w:pPr>
        <w:spacing w:line="360" w:lineRule="auto"/>
        <w:ind w:firstLine="420" w:firstLineChars="200"/>
        <w:rPr>
          <w:rStyle w:val="34"/>
          <w:rFonts w:hint="eastAsia" w:ascii="宋体" w:hAnsi="宋体" w:eastAsia="宋体" w:cs="宋体"/>
          <w:color w:val="auto"/>
          <w:sz w:val="21"/>
          <w:highlight w:val="none"/>
          <w:lang w:eastAsia="zh-CN"/>
        </w:rPr>
      </w:pPr>
      <w:r>
        <w:rPr>
          <w:rStyle w:val="34"/>
          <w:rFonts w:hint="eastAsia" w:ascii="宋体" w:hAnsi="宋体" w:eastAsia="宋体" w:cs="宋体"/>
          <w:color w:val="auto"/>
          <w:sz w:val="21"/>
          <w:highlight w:val="none"/>
          <w:lang w:eastAsia="zh-CN"/>
        </w:rPr>
        <w:t xml:space="preserve">    本公司对上述声明的真实性负责。如有虚假，将依法承担相应责任。</w:t>
      </w:r>
    </w:p>
    <w:p w14:paraId="04A3BAD7">
      <w:pPr>
        <w:spacing w:line="360" w:lineRule="auto"/>
        <w:ind w:firstLine="2951" w:firstLineChars="1400"/>
        <w:rPr>
          <w:rStyle w:val="34"/>
          <w:rFonts w:hint="eastAsia" w:ascii="宋体" w:hAnsi="宋体" w:eastAsia="宋体" w:cs="宋体"/>
          <w:b/>
          <w:bCs/>
          <w:color w:val="auto"/>
          <w:sz w:val="21"/>
          <w:highlight w:val="none"/>
          <w:lang w:eastAsia="zh-CN"/>
        </w:rPr>
      </w:pPr>
      <w:r>
        <w:rPr>
          <w:rStyle w:val="34"/>
          <w:rFonts w:hint="eastAsia" w:ascii="宋体" w:hAnsi="宋体" w:eastAsia="宋体" w:cs="宋体"/>
          <w:b/>
          <w:bCs/>
          <w:color w:val="auto"/>
          <w:sz w:val="21"/>
          <w:highlight w:val="none"/>
          <w:lang w:eastAsia="zh-CN"/>
        </w:rPr>
        <w:t>投标人：</w:t>
      </w:r>
      <w:r>
        <w:rPr>
          <w:rStyle w:val="34"/>
          <w:rFonts w:hint="eastAsia" w:ascii="宋体" w:hAnsi="宋体" w:eastAsia="宋体" w:cs="宋体"/>
          <w:b/>
          <w:bCs/>
          <w:color w:val="auto"/>
          <w:sz w:val="21"/>
          <w:highlight w:val="none"/>
          <w:u w:val="single"/>
          <w:lang w:eastAsia="zh-CN"/>
        </w:rPr>
        <w:t xml:space="preserve">            </w:t>
      </w:r>
      <w:r>
        <w:rPr>
          <w:rStyle w:val="34"/>
          <w:rFonts w:hint="eastAsia" w:ascii="宋体" w:hAnsi="宋体" w:eastAsia="宋体" w:cs="宋体"/>
          <w:b/>
          <w:bCs/>
          <w:color w:val="auto"/>
          <w:sz w:val="21"/>
          <w:highlight w:val="none"/>
          <w:u w:val="single"/>
          <w:lang w:val="en-US" w:eastAsia="zh-CN"/>
        </w:rPr>
        <w:t xml:space="preserve">        </w:t>
      </w:r>
      <w:r>
        <w:rPr>
          <w:rStyle w:val="34"/>
          <w:rFonts w:hint="eastAsia" w:ascii="宋体" w:hAnsi="宋体" w:eastAsia="宋体" w:cs="宋体"/>
          <w:b/>
          <w:bCs/>
          <w:color w:val="auto"/>
          <w:sz w:val="21"/>
          <w:highlight w:val="none"/>
          <w:u w:val="single"/>
          <w:lang w:eastAsia="zh-CN"/>
        </w:rPr>
        <w:t xml:space="preserve">          </w:t>
      </w:r>
      <w:r>
        <w:rPr>
          <w:rStyle w:val="34"/>
          <w:rFonts w:hint="eastAsia" w:ascii="宋体" w:hAnsi="宋体" w:eastAsia="宋体" w:cs="宋体"/>
          <w:b/>
          <w:bCs/>
          <w:color w:val="auto"/>
          <w:sz w:val="21"/>
          <w:highlight w:val="none"/>
          <w:lang w:eastAsia="zh-CN"/>
        </w:rPr>
        <w:t xml:space="preserve">（盖章） </w:t>
      </w:r>
    </w:p>
    <w:p w14:paraId="0CC0EF3F">
      <w:pPr>
        <w:spacing w:line="360" w:lineRule="auto"/>
        <w:ind w:firstLine="2951" w:firstLineChars="1400"/>
        <w:rPr>
          <w:rStyle w:val="34"/>
          <w:rFonts w:hint="eastAsia" w:ascii="宋体" w:hAnsi="宋体" w:eastAsia="宋体" w:cs="宋体"/>
          <w:b/>
          <w:bCs/>
          <w:color w:val="auto"/>
          <w:sz w:val="21"/>
          <w:highlight w:val="none"/>
          <w:lang w:eastAsia="zh-CN"/>
        </w:rPr>
      </w:pPr>
      <w:r>
        <w:rPr>
          <w:rStyle w:val="34"/>
          <w:rFonts w:hint="eastAsia" w:ascii="宋体" w:hAnsi="宋体" w:eastAsia="宋体" w:cs="宋体"/>
          <w:b/>
          <w:bCs/>
          <w:color w:val="auto"/>
          <w:sz w:val="21"/>
          <w:highlight w:val="none"/>
          <w:lang w:eastAsia="zh-CN"/>
        </w:rPr>
        <w:t>法定代表人或其委托代理人：</w:t>
      </w:r>
      <w:r>
        <w:rPr>
          <w:rStyle w:val="34"/>
          <w:rFonts w:hint="eastAsia" w:ascii="宋体" w:hAnsi="宋体" w:eastAsia="宋体" w:cs="宋体"/>
          <w:b/>
          <w:bCs/>
          <w:color w:val="auto"/>
          <w:sz w:val="21"/>
          <w:highlight w:val="none"/>
          <w:u w:val="single"/>
          <w:lang w:eastAsia="zh-CN"/>
        </w:rPr>
        <w:t xml:space="preserve">            </w:t>
      </w:r>
      <w:r>
        <w:rPr>
          <w:rStyle w:val="34"/>
          <w:rFonts w:hint="eastAsia" w:ascii="宋体" w:hAnsi="宋体" w:eastAsia="宋体" w:cs="宋体"/>
          <w:b/>
          <w:bCs/>
          <w:color w:val="auto"/>
          <w:sz w:val="21"/>
          <w:highlight w:val="none"/>
          <w:lang w:eastAsia="zh-CN"/>
        </w:rPr>
        <w:t>（签字或盖章）</w:t>
      </w:r>
    </w:p>
    <w:p w14:paraId="5AB0B6FC">
      <w:pPr>
        <w:spacing w:line="360" w:lineRule="auto"/>
        <w:ind w:firstLine="5271" w:firstLineChars="2500"/>
        <w:rPr>
          <w:rStyle w:val="34"/>
          <w:rFonts w:hint="eastAsia" w:ascii="宋体" w:hAnsi="宋体" w:eastAsia="宋体" w:cs="宋体"/>
          <w:b/>
          <w:bCs/>
          <w:color w:val="auto"/>
          <w:sz w:val="21"/>
          <w:highlight w:val="none"/>
          <w:lang w:eastAsia="zh-CN"/>
        </w:rPr>
      </w:pPr>
      <w:r>
        <w:rPr>
          <w:rStyle w:val="34"/>
          <w:rFonts w:hint="eastAsia" w:ascii="宋体" w:hAnsi="宋体" w:eastAsia="宋体" w:cs="宋体"/>
          <w:b/>
          <w:bCs/>
          <w:color w:val="auto"/>
          <w:sz w:val="21"/>
          <w:highlight w:val="none"/>
          <w:u w:val="single"/>
          <w:lang w:eastAsia="zh-CN"/>
        </w:rPr>
        <w:t xml:space="preserve"> </w:t>
      </w:r>
      <w:r>
        <w:rPr>
          <w:rStyle w:val="34"/>
          <w:rFonts w:hint="eastAsia" w:ascii="宋体" w:hAnsi="宋体" w:eastAsia="宋体" w:cs="宋体"/>
          <w:b/>
          <w:bCs/>
          <w:color w:val="auto"/>
          <w:sz w:val="21"/>
          <w:highlight w:val="none"/>
          <w:u w:val="single"/>
          <w:lang w:eastAsia="zh-CN"/>
        </w:rPr>
        <w:tab/>
      </w:r>
      <w:r>
        <w:rPr>
          <w:rStyle w:val="34"/>
          <w:rFonts w:hint="eastAsia" w:ascii="宋体" w:hAnsi="宋体" w:eastAsia="宋体" w:cs="宋体"/>
          <w:b/>
          <w:bCs/>
          <w:color w:val="auto"/>
          <w:sz w:val="21"/>
          <w:highlight w:val="none"/>
          <w:u w:val="single"/>
          <w:lang w:eastAsia="zh-CN"/>
        </w:rPr>
        <w:t xml:space="preserve">   </w:t>
      </w:r>
      <w:r>
        <w:rPr>
          <w:rStyle w:val="34"/>
          <w:rFonts w:hint="eastAsia" w:ascii="宋体" w:hAnsi="宋体" w:eastAsia="宋体" w:cs="宋体"/>
          <w:b/>
          <w:bCs/>
          <w:color w:val="auto"/>
          <w:sz w:val="21"/>
          <w:highlight w:val="none"/>
          <w:lang w:eastAsia="zh-CN"/>
        </w:rPr>
        <w:t>年</w:t>
      </w:r>
      <w:r>
        <w:rPr>
          <w:rStyle w:val="34"/>
          <w:rFonts w:hint="eastAsia" w:ascii="宋体" w:hAnsi="宋体" w:eastAsia="宋体" w:cs="宋体"/>
          <w:b/>
          <w:bCs/>
          <w:color w:val="auto"/>
          <w:sz w:val="21"/>
          <w:highlight w:val="none"/>
          <w:u w:val="single"/>
          <w:lang w:eastAsia="zh-CN"/>
        </w:rPr>
        <w:t xml:space="preserve"> </w:t>
      </w:r>
      <w:r>
        <w:rPr>
          <w:rStyle w:val="34"/>
          <w:rFonts w:hint="eastAsia" w:ascii="宋体" w:hAnsi="宋体" w:eastAsia="宋体" w:cs="宋体"/>
          <w:b/>
          <w:bCs/>
          <w:color w:val="auto"/>
          <w:sz w:val="21"/>
          <w:highlight w:val="none"/>
          <w:u w:val="single"/>
          <w:lang w:eastAsia="zh-CN"/>
        </w:rPr>
        <w:tab/>
      </w:r>
      <w:r>
        <w:rPr>
          <w:rStyle w:val="34"/>
          <w:rFonts w:hint="eastAsia" w:ascii="宋体" w:hAnsi="宋体" w:eastAsia="宋体" w:cs="宋体"/>
          <w:b/>
          <w:bCs/>
          <w:color w:val="auto"/>
          <w:sz w:val="21"/>
          <w:highlight w:val="none"/>
          <w:u w:val="single"/>
          <w:lang w:eastAsia="zh-CN"/>
        </w:rPr>
        <w:t xml:space="preserve">  </w:t>
      </w:r>
      <w:r>
        <w:rPr>
          <w:rStyle w:val="34"/>
          <w:rFonts w:hint="eastAsia" w:ascii="宋体" w:hAnsi="宋体" w:eastAsia="宋体" w:cs="宋体"/>
          <w:b/>
          <w:bCs/>
          <w:color w:val="auto"/>
          <w:sz w:val="21"/>
          <w:highlight w:val="none"/>
          <w:lang w:eastAsia="zh-CN"/>
        </w:rPr>
        <w:t>月</w:t>
      </w:r>
      <w:r>
        <w:rPr>
          <w:rStyle w:val="34"/>
          <w:rFonts w:hint="eastAsia" w:ascii="宋体" w:hAnsi="宋体" w:eastAsia="宋体" w:cs="宋体"/>
          <w:b/>
          <w:bCs/>
          <w:color w:val="auto"/>
          <w:sz w:val="21"/>
          <w:highlight w:val="none"/>
          <w:u w:val="single"/>
          <w:lang w:eastAsia="zh-CN"/>
        </w:rPr>
        <w:t xml:space="preserve"> </w:t>
      </w:r>
      <w:r>
        <w:rPr>
          <w:rStyle w:val="34"/>
          <w:rFonts w:hint="eastAsia" w:ascii="宋体" w:hAnsi="宋体" w:eastAsia="宋体" w:cs="宋体"/>
          <w:b/>
          <w:bCs/>
          <w:color w:val="auto"/>
          <w:sz w:val="21"/>
          <w:highlight w:val="none"/>
          <w:u w:val="single"/>
          <w:lang w:eastAsia="zh-CN"/>
        </w:rPr>
        <w:tab/>
      </w:r>
      <w:r>
        <w:rPr>
          <w:rStyle w:val="34"/>
          <w:rFonts w:hint="eastAsia" w:ascii="宋体" w:hAnsi="宋体" w:eastAsia="宋体" w:cs="宋体"/>
          <w:b/>
          <w:bCs/>
          <w:color w:val="auto"/>
          <w:sz w:val="21"/>
          <w:highlight w:val="none"/>
          <w:lang w:eastAsia="zh-CN"/>
        </w:rPr>
        <w:t>日</w:t>
      </w:r>
    </w:p>
    <w:p w14:paraId="217B3531">
      <w:pPr>
        <w:spacing w:line="360" w:lineRule="auto"/>
        <w:rPr>
          <w:rStyle w:val="34"/>
          <w:rFonts w:hint="eastAsia" w:ascii="宋体" w:hAnsi="宋体" w:eastAsia="宋体" w:cs="宋体"/>
          <w:color w:val="auto"/>
          <w:highlight w:val="none"/>
          <w:lang w:eastAsia="zh-CN"/>
        </w:rPr>
      </w:pPr>
    </w:p>
    <w:p w14:paraId="3D9B5466">
      <w:pPr>
        <w:spacing w:line="360" w:lineRule="auto"/>
        <w:rPr>
          <w:rFonts w:hint="eastAsia" w:ascii="宋体" w:hAnsi="宋体" w:eastAsia="宋体" w:cs="宋体"/>
          <w:color w:val="auto"/>
          <w:szCs w:val="21"/>
          <w:highlight w:val="none"/>
          <w:u w:val="single"/>
          <w:lang w:eastAsia="zh-CN"/>
        </w:rPr>
      </w:pPr>
    </w:p>
    <w:p w14:paraId="76C5DE2E">
      <w:pPr>
        <w:spacing w:line="360" w:lineRule="auto"/>
        <w:rPr>
          <w:rStyle w:val="34"/>
          <w:rFonts w:hint="eastAsia" w:ascii="宋体" w:hAnsi="宋体" w:eastAsia="宋体" w:cs="宋体"/>
          <w:b/>
          <w:bCs/>
          <w:color w:val="auto"/>
          <w:sz w:val="21"/>
          <w:highlight w:val="none"/>
          <w:lang w:eastAsia="zh-CN"/>
        </w:rPr>
      </w:pPr>
      <w:r>
        <w:rPr>
          <w:rStyle w:val="34"/>
          <w:rFonts w:hint="eastAsia" w:ascii="宋体" w:hAnsi="宋体" w:eastAsia="宋体" w:cs="宋体"/>
          <w:b/>
          <w:bCs/>
          <w:color w:val="auto"/>
          <w:sz w:val="21"/>
          <w:highlight w:val="none"/>
          <w:lang w:eastAsia="zh-CN"/>
        </w:rPr>
        <w:t>注：若产品出自符合国家规定的监狱企业，则该产品制造企业必须出具上述声明函，且投标人必须提供应当提供由省级以上监狱管理局、戒毒管理局（含新疆生产建设兵团）出具的属于监狱企业的证明文件，否则在评审时将不考虑对该监狱企业的相关优惠。</w:t>
      </w:r>
    </w:p>
    <w:p w14:paraId="669BB3C4">
      <w:pPr>
        <w:spacing w:line="360" w:lineRule="auto"/>
        <w:rPr>
          <w:rStyle w:val="34"/>
          <w:rFonts w:hint="eastAsia" w:ascii="宋体" w:hAnsi="宋体" w:eastAsia="宋体" w:cs="宋体"/>
          <w:b/>
          <w:bCs/>
          <w:color w:val="auto"/>
          <w:sz w:val="21"/>
          <w:highlight w:val="none"/>
          <w:lang w:eastAsia="zh-CN"/>
        </w:rPr>
      </w:pPr>
      <w:r>
        <w:rPr>
          <w:rStyle w:val="34"/>
          <w:rFonts w:hint="eastAsia" w:ascii="宋体" w:hAnsi="宋体" w:eastAsia="宋体" w:cs="宋体"/>
          <w:b/>
          <w:bCs/>
          <w:color w:val="auto"/>
          <w:sz w:val="21"/>
          <w:highlight w:val="none"/>
          <w:lang w:eastAsia="zh-CN"/>
        </w:rPr>
        <w:t>监狱企业视同小型、微型企业，享受评审中价格扣除等政府采购促进中小企业发展的政府采购政策。</w:t>
      </w:r>
    </w:p>
    <w:p w14:paraId="06F60EE8">
      <w:pPr>
        <w:pStyle w:val="2"/>
        <w:ind w:left="0" w:leftChars="0" w:firstLine="0" w:firstLineChars="0"/>
        <w:rPr>
          <w:rStyle w:val="34"/>
          <w:rFonts w:hint="eastAsia" w:ascii="宋体" w:hAnsi="宋体" w:eastAsia="宋体" w:cs="宋体"/>
          <w:b/>
          <w:bCs/>
          <w:color w:val="auto"/>
          <w:sz w:val="21"/>
          <w:highlight w:val="none"/>
          <w:lang w:eastAsia="zh-CN"/>
        </w:rPr>
      </w:pPr>
    </w:p>
    <w:p w14:paraId="4D49A916">
      <w:pPr>
        <w:pStyle w:val="29"/>
        <w:spacing w:line="457" w:lineRule="exact"/>
        <w:ind w:left="0" w:right="-71" w:firstLine="0"/>
        <w:jc w:val="both"/>
        <w:rPr>
          <w:rFonts w:hint="eastAsia" w:ascii="宋体" w:hAnsi="宋体" w:eastAsia="宋体" w:cs="宋体"/>
          <w:b/>
          <w:bCs/>
          <w:color w:val="auto"/>
          <w:sz w:val="32"/>
          <w:szCs w:val="32"/>
          <w:highlight w:val="none"/>
          <w:lang w:val="en-US" w:eastAsia="zh-CN" w:bidi="ar-SA"/>
        </w:rPr>
        <w:sectPr>
          <w:headerReference r:id="rId11" w:type="default"/>
          <w:footerReference r:id="rId12" w:type="default"/>
          <w:pgSz w:w="11906" w:h="16838"/>
          <w:pgMar w:top="1440" w:right="1800" w:bottom="1440" w:left="1800" w:header="851" w:footer="992" w:gutter="0"/>
          <w:cols w:space="425" w:num="1"/>
          <w:docGrid w:type="lines" w:linePitch="312" w:charSpace="0"/>
        </w:sectPr>
      </w:pPr>
      <w:bookmarkStart w:id="84" w:name="_Toc533420655"/>
    </w:p>
    <w:p w14:paraId="05D12F2B">
      <w:pPr>
        <w:pStyle w:val="29"/>
        <w:spacing w:line="457" w:lineRule="exact"/>
        <w:ind w:left="0" w:right="-71" w:firstLine="0"/>
        <w:jc w:val="center"/>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七、技术部分</w:t>
      </w:r>
    </w:p>
    <w:p w14:paraId="05E89866">
      <w:pPr>
        <w:pStyle w:val="29"/>
        <w:spacing w:line="457" w:lineRule="exact"/>
        <w:ind w:left="0" w:right="-71" w:firstLine="0"/>
        <w:jc w:val="center"/>
        <w:outlineLvl w:val="3"/>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lang w:val="en-US" w:eastAsia="zh-CN" w:bidi="ar-SA"/>
        </w:rPr>
        <w:t>（一）技术</w:t>
      </w:r>
      <w:r>
        <w:rPr>
          <w:rFonts w:hint="eastAsia" w:ascii="宋体" w:hAnsi="宋体" w:eastAsia="宋体" w:cs="宋体"/>
          <w:color w:val="auto"/>
          <w:highlight w:val="none"/>
          <w:lang w:eastAsia="zh-CN"/>
        </w:rPr>
        <w:t>规格偏离表</w:t>
      </w:r>
    </w:p>
    <w:p w14:paraId="46AF03F5">
      <w:pPr>
        <w:widowControl/>
        <w:autoSpaceDE/>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投标人应按所报产品的实际技术参数，逐条对应招标文件的第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章“</w:t>
      </w:r>
      <w:r>
        <w:rPr>
          <w:rFonts w:hint="eastAsia" w:ascii="宋体" w:hAnsi="宋体" w:eastAsia="宋体" w:cs="宋体"/>
          <w:color w:val="auto"/>
          <w:sz w:val="21"/>
          <w:szCs w:val="21"/>
          <w:highlight w:val="none"/>
          <w:lang w:val="en-US" w:eastAsia="zh-CN"/>
        </w:rPr>
        <w:t>采购需求及要求</w:t>
      </w:r>
      <w:r>
        <w:rPr>
          <w:rFonts w:hint="eastAsia" w:ascii="宋体" w:hAnsi="宋体" w:eastAsia="宋体" w:cs="宋体"/>
          <w:color w:val="auto"/>
          <w:sz w:val="21"/>
          <w:szCs w:val="21"/>
          <w:highlight w:val="none"/>
          <w:lang w:eastAsia="zh-CN"/>
        </w:rPr>
        <w:t>”中要求的技术规范如实、完整、准确的填写该表。</w:t>
      </w:r>
    </w:p>
    <w:p w14:paraId="6D4B48C4">
      <w:pPr>
        <w:widowControl/>
        <w:autoSpaceDE/>
        <w:spacing w:line="24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 xml:space="preserve">                              项目编号：</w:t>
      </w:r>
      <w:r>
        <w:rPr>
          <w:rFonts w:hint="eastAsia" w:ascii="宋体" w:hAnsi="宋体" w:eastAsia="宋体" w:cs="宋体"/>
          <w:color w:val="auto"/>
          <w:sz w:val="21"/>
          <w:szCs w:val="21"/>
          <w:highlight w:val="none"/>
          <w:u w:val="single"/>
          <w:lang w:eastAsia="zh-CN"/>
        </w:rPr>
        <w:t xml:space="preserve">                 </w:t>
      </w:r>
    </w:p>
    <w:tbl>
      <w:tblPr>
        <w:tblStyle w:val="16"/>
        <w:tblW w:w="13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87"/>
        <w:gridCol w:w="3531"/>
        <w:gridCol w:w="3277"/>
        <w:gridCol w:w="1177"/>
        <w:gridCol w:w="1461"/>
        <w:gridCol w:w="1461"/>
      </w:tblGrid>
      <w:tr w14:paraId="427B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4A1A388C">
            <w:pPr>
              <w:widowControl/>
              <w:autoSpaceDE/>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序号</w:t>
            </w:r>
          </w:p>
        </w:tc>
        <w:tc>
          <w:tcPr>
            <w:tcW w:w="1587" w:type="dxa"/>
            <w:tcBorders>
              <w:top w:val="single" w:color="auto" w:sz="4" w:space="0"/>
              <w:left w:val="single" w:color="auto" w:sz="4" w:space="0"/>
              <w:bottom w:val="single" w:color="auto" w:sz="4" w:space="0"/>
              <w:right w:val="single" w:color="auto" w:sz="4" w:space="0"/>
            </w:tcBorders>
            <w:vAlign w:val="center"/>
          </w:tcPr>
          <w:p w14:paraId="3EA2B956">
            <w:pPr>
              <w:widowControl/>
              <w:autoSpaceDE/>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产品</w:t>
            </w:r>
            <w:r>
              <w:rPr>
                <w:rFonts w:hint="eastAsia" w:ascii="宋体" w:hAnsi="宋体" w:eastAsia="宋体" w:cs="宋体"/>
                <w:b/>
                <w:color w:val="auto"/>
                <w:sz w:val="21"/>
                <w:szCs w:val="21"/>
                <w:highlight w:val="none"/>
                <w:lang w:eastAsia="zh-CN"/>
              </w:rPr>
              <w:t>名称</w:t>
            </w:r>
          </w:p>
        </w:tc>
        <w:tc>
          <w:tcPr>
            <w:tcW w:w="3531" w:type="dxa"/>
            <w:tcBorders>
              <w:top w:val="single" w:color="auto" w:sz="4" w:space="0"/>
              <w:left w:val="single" w:color="auto" w:sz="4" w:space="0"/>
              <w:bottom w:val="single" w:color="auto" w:sz="4" w:space="0"/>
              <w:right w:val="single" w:color="auto" w:sz="4" w:space="0"/>
            </w:tcBorders>
            <w:vAlign w:val="center"/>
          </w:tcPr>
          <w:p w14:paraId="004512F0">
            <w:pPr>
              <w:widowControl/>
              <w:autoSpaceDE/>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2"/>
                <w:szCs w:val="22"/>
                <w:highlight w:val="none"/>
                <w:lang w:eastAsia="zh-CN"/>
              </w:rPr>
              <w:t>招标文件中的规格或详细性能要求</w:t>
            </w:r>
          </w:p>
        </w:tc>
        <w:tc>
          <w:tcPr>
            <w:tcW w:w="3277" w:type="dxa"/>
            <w:tcBorders>
              <w:top w:val="single" w:color="auto" w:sz="4" w:space="0"/>
              <w:left w:val="single" w:color="auto" w:sz="4" w:space="0"/>
              <w:bottom w:val="single" w:color="auto" w:sz="4" w:space="0"/>
              <w:right w:val="single" w:color="auto" w:sz="4" w:space="0"/>
            </w:tcBorders>
            <w:vAlign w:val="center"/>
          </w:tcPr>
          <w:p w14:paraId="0DD01365">
            <w:pPr>
              <w:widowControl/>
              <w:autoSpaceDE/>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投</w:t>
            </w:r>
            <w:r>
              <w:rPr>
                <w:rFonts w:hint="eastAsia" w:ascii="宋体" w:hAnsi="宋体" w:eastAsia="宋体" w:cs="宋体"/>
                <w:b/>
                <w:color w:val="auto"/>
                <w:sz w:val="22"/>
                <w:szCs w:val="22"/>
                <w:highlight w:val="none"/>
                <w:lang w:eastAsia="zh-CN"/>
              </w:rPr>
              <w:t>标品牌、型号、规格、详细性能</w:t>
            </w:r>
          </w:p>
        </w:tc>
        <w:tc>
          <w:tcPr>
            <w:tcW w:w="1177" w:type="dxa"/>
            <w:tcBorders>
              <w:top w:val="single" w:color="auto" w:sz="4" w:space="0"/>
              <w:left w:val="single" w:color="auto" w:sz="4" w:space="0"/>
              <w:bottom w:val="single" w:color="auto" w:sz="4" w:space="0"/>
              <w:right w:val="single" w:color="auto" w:sz="4" w:space="0"/>
            </w:tcBorders>
            <w:vAlign w:val="center"/>
          </w:tcPr>
          <w:p w14:paraId="5DB38DB5">
            <w:pPr>
              <w:widowControl/>
              <w:autoSpaceDE/>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偏离</w:t>
            </w:r>
          </w:p>
        </w:tc>
        <w:tc>
          <w:tcPr>
            <w:tcW w:w="1461" w:type="dxa"/>
            <w:tcBorders>
              <w:top w:val="single" w:color="auto" w:sz="4" w:space="0"/>
              <w:left w:val="single" w:color="auto" w:sz="4" w:space="0"/>
              <w:bottom w:val="single" w:color="auto" w:sz="4" w:space="0"/>
              <w:right w:val="single" w:color="auto" w:sz="4" w:space="0"/>
            </w:tcBorders>
            <w:vAlign w:val="center"/>
          </w:tcPr>
          <w:p w14:paraId="60CC6537">
            <w:pPr>
              <w:widowControl/>
              <w:autoSpaceDE/>
              <w:spacing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说明</w:t>
            </w:r>
          </w:p>
        </w:tc>
        <w:tc>
          <w:tcPr>
            <w:tcW w:w="1461" w:type="dxa"/>
            <w:tcBorders>
              <w:top w:val="single" w:color="auto" w:sz="4" w:space="0"/>
              <w:left w:val="single" w:color="auto" w:sz="4" w:space="0"/>
              <w:bottom w:val="single" w:color="auto" w:sz="4" w:space="0"/>
              <w:right w:val="single" w:color="auto" w:sz="4" w:space="0"/>
            </w:tcBorders>
            <w:vAlign w:val="center"/>
          </w:tcPr>
          <w:p w14:paraId="68D255CC">
            <w:pPr>
              <w:widowControl/>
              <w:autoSpaceDE/>
              <w:spacing w:line="240" w:lineRule="auto"/>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技术支持资料索引（页码及条目号等）</w:t>
            </w:r>
          </w:p>
        </w:tc>
      </w:tr>
      <w:tr w14:paraId="2FFA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1D6B4D6D">
            <w:pPr>
              <w:widowControl/>
              <w:autoSpaceDE/>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587" w:type="dxa"/>
            <w:tcBorders>
              <w:top w:val="single" w:color="auto" w:sz="4" w:space="0"/>
              <w:left w:val="single" w:color="auto" w:sz="4" w:space="0"/>
              <w:bottom w:val="single" w:color="auto" w:sz="4" w:space="0"/>
              <w:right w:val="single" w:color="auto" w:sz="4" w:space="0"/>
            </w:tcBorders>
            <w:vAlign w:val="center"/>
          </w:tcPr>
          <w:p w14:paraId="61DA5F55">
            <w:pPr>
              <w:widowControl/>
              <w:autoSpaceDE/>
              <w:spacing w:line="240" w:lineRule="auto"/>
              <w:jc w:val="center"/>
              <w:rPr>
                <w:rFonts w:hint="eastAsia" w:ascii="宋体" w:hAnsi="宋体" w:eastAsia="宋体" w:cs="宋体"/>
                <w:b/>
                <w:bCs/>
                <w:color w:val="auto"/>
                <w:sz w:val="20"/>
                <w:szCs w:val="20"/>
                <w:highlight w:val="none"/>
                <w:lang w:eastAsia="zh-CN"/>
              </w:rPr>
            </w:pPr>
          </w:p>
        </w:tc>
        <w:tc>
          <w:tcPr>
            <w:tcW w:w="3531" w:type="dxa"/>
            <w:tcBorders>
              <w:top w:val="single" w:color="auto" w:sz="4" w:space="0"/>
              <w:left w:val="single" w:color="auto" w:sz="4" w:space="0"/>
              <w:bottom w:val="single" w:color="auto" w:sz="4" w:space="0"/>
              <w:right w:val="single" w:color="auto" w:sz="4" w:space="0"/>
            </w:tcBorders>
            <w:vAlign w:val="center"/>
          </w:tcPr>
          <w:p w14:paraId="59714892">
            <w:pPr>
              <w:widowControl/>
              <w:autoSpaceDE/>
              <w:spacing w:line="240" w:lineRule="auto"/>
              <w:jc w:val="center"/>
              <w:rPr>
                <w:rFonts w:hint="eastAsia" w:ascii="宋体" w:hAnsi="宋体" w:eastAsia="宋体" w:cs="宋体"/>
                <w:b/>
                <w:bCs/>
                <w:color w:val="auto"/>
                <w:sz w:val="20"/>
                <w:szCs w:val="20"/>
                <w:highlight w:val="none"/>
                <w:lang w:eastAsia="zh-CN"/>
              </w:rPr>
            </w:pPr>
          </w:p>
        </w:tc>
        <w:tc>
          <w:tcPr>
            <w:tcW w:w="3277" w:type="dxa"/>
            <w:tcBorders>
              <w:top w:val="single" w:color="auto" w:sz="4" w:space="0"/>
              <w:left w:val="single" w:color="auto" w:sz="4" w:space="0"/>
              <w:bottom w:val="single" w:color="auto" w:sz="4" w:space="0"/>
              <w:right w:val="single" w:color="auto" w:sz="4" w:space="0"/>
            </w:tcBorders>
            <w:vAlign w:val="center"/>
          </w:tcPr>
          <w:p w14:paraId="790B81D3">
            <w:pPr>
              <w:widowControl/>
              <w:autoSpaceDE/>
              <w:spacing w:line="240" w:lineRule="auto"/>
              <w:jc w:val="center"/>
              <w:rPr>
                <w:rFonts w:hint="eastAsia" w:ascii="宋体" w:hAnsi="宋体" w:eastAsia="宋体" w:cs="宋体"/>
                <w:color w:val="auto"/>
                <w:sz w:val="21"/>
                <w:szCs w:val="21"/>
                <w:highlight w:val="none"/>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14:paraId="75823482">
            <w:pPr>
              <w:widowControl/>
              <w:autoSpaceDE/>
              <w:spacing w:line="240" w:lineRule="auto"/>
              <w:jc w:val="center"/>
              <w:rPr>
                <w:rFonts w:hint="eastAsia" w:ascii="宋体" w:hAnsi="宋体" w:eastAsia="宋体" w:cs="宋体"/>
                <w:color w:val="auto"/>
                <w:sz w:val="21"/>
                <w:szCs w:val="21"/>
                <w:highlight w:val="none"/>
                <w:lang w:eastAsia="zh-CN"/>
              </w:rPr>
            </w:pPr>
          </w:p>
        </w:tc>
        <w:tc>
          <w:tcPr>
            <w:tcW w:w="1461" w:type="dxa"/>
            <w:tcBorders>
              <w:top w:val="single" w:color="auto" w:sz="4" w:space="0"/>
              <w:left w:val="single" w:color="auto" w:sz="4" w:space="0"/>
              <w:bottom w:val="single" w:color="auto" w:sz="4" w:space="0"/>
              <w:right w:val="single" w:color="auto" w:sz="4" w:space="0"/>
            </w:tcBorders>
            <w:vAlign w:val="center"/>
          </w:tcPr>
          <w:p w14:paraId="64BB4FB7">
            <w:pPr>
              <w:widowControl/>
              <w:autoSpaceDE/>
              <w:spacing w:line="240" w:lineRule="auto"/>
              <w:jc w:val="center"/>
              <w:rPr>
                <w:rFonts w:hint="eastAsia" w:ascii="宋体" w:hAnsi="宋体" w:eastAsia="宋体" w:cs="宋体"/>
                <w:color w:val="auto"/>
                <w:sz w:val="21"/>
                <w:szCs w:val="21"/>
                <w:highlight w:val="none"/>
                <w:lang w:eastAsia="zh-CN"/>
              </w:rPr>
            </w:pPr>
          </w:p>
        </w:tc>
        <w:tc>
          <w:tcPr>
            <w:tcW w:w="1461" w:type="dxa"/>
            <w:tcBorders>
              <w:top w:val="single" w:color="auto" w:sz="4" w:space="0"/>
              <w:left w:val="single" w:color="auto" w:sz="4" w:space="0"/>
              <w:bottom w:val="single" w:color="auto" w:sz="4" w:space="0"/>
              <w:right w:val="single" w:color="auto" w:sz="4" w:space="0"/>
            </w:tcBorders>
            <w:vAlign w:val="center"/>
          </w:tcPr>
          <w:p w14:paraId="076D934A">
            <w:pPr>
              <w:widowControl/>
              <w:autoSpaceDE/>
              <w:spacing w:line="240" w:lineRule="auto"/>
              <w:jc w:val="center"/>
              <w:rPr>
                <w:rFonts w:hint="eastAsia" w:ascii="宋体" w:hAnsi="宋体" w:eastAsia="宋体" w:cs="宋体"/>
                <w:color w:val="auto"/>
                <w:sz w:val="21"/>
                <w:szCs w:val="21"/>
                <w:highlight w:val="none"/>
                <w:lang w:eastAsia="zh-CN"/>
              </w:rPr>
            </w:pPr>
          </w:p>
        </w:tc>
      </w:tr>
      <w:tr w14:paraId="3380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033D3BDE">
            <w:pPr>
              <w:widowControl/>
              <w:autoSpaceDE/>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87" w:type="dxa"/>
            <w:tcBorders>
              <w:top w:val="single" w:color="auto" w:sz="4" w:space="0"/>
              <w:left w:val="single" w:color="auto" w:sz="4" w:space="0"/>
              <w:bottom w:val="single" w:color="auto" w:sz="4" w:space="0"/>
              <w:right w:val="single" w:color="auto" w:sz="4" w:space="0"/>
            </w:tcBorders>
            <w:vAlign w:val="center"/>
          </w:tcPr>
          <w:p w14:paraId="0EC00A97">
            <w:pPr>
              <w:widowControl/>
              <w:autoSpaceDE/>
              <w:spacing w:line="240" w:lineRule="auto"/>
              <w:jc w:val="center"/>
              <w:rPr>
                <w:rFonts w:hint="eastAsia" w:ascii="宋体" w:hAnsi="宋体" w:eastAsia="宋体" w:cs="宋体"/>
                <w:b/>
                <w:bCs/>
                <w:color w:val="auto"/>
                <w:sz w:val="20"/>
                <w:szCs w:val="20"/>
                <w:highlight w:val="none"/>
                <w:lang w:eastAsia="zh-CN"/>
              </w:rPr>
            </w:pPr>
          </w:p>
        </w:tc>
        <w:tc>
          <w:tcPr>
            <w:tcW w:w="3531" w:type="dxa"/>
            <w:tcBorders>
              <w:top w:val="single" w:color="auto" w:sz="4" w:space="0"/>
              <w:left w:val="single" w:color="auto" w:sz="4" w:space="0"/>
              <w:bottom w:val="single" w:color="auto" w:sz="4" w:space="0"/>
              <w:right w:val="single" w:color="auto" w:sz="4" w:space="0"/>
            </w:tcBorders>
            <w:vAlign w:val="center"/>
          </w:tcPr>
          <w:p w14:paraId="3F13A1B4">
            <w:pPr>
              <w:widowControl/>
              <w:autoSpaceDE/>
              <w:spacing w:line="240" w:lineRule="auto"/>
              <w:jc w:val="center"/>
              <w:rPr>
                <w:rFonts w:hint="eastAsia" w:ascii="宋体" w:hAnsi="宋体" w:eastAsia="宋体" w:cs="宋体"/>
                <w:b/>
                <w:bCs/>
                <w:color w:val="auto"/>
                <w:sz w:val="20"/>
                <w:szCs w:val="20"/>
                <w:highlight w:val="none"/>
                <w:lang w:eastAsia="zh-CN"/>
              </w:rPr>
            </w:pPr>
          </w:p>
        </w:tc>
        <w:tc>
          <w:tcPr>
            <w:tcW w:w="3277" w:type="dxa"/>
            <w:tcBorders>
              <w:top w:val="single" w:color="auto" w:sz="4" w:space="0"/>
              <w:left w:val="single" w:color="auto" w:sz="4" w:space="0"/>
              <w:bottom w:val="single" w:color="auto" w:sz="4" w:space="0"/>
              <w:right w:val="single" w:color="auto" w:sz="4" w:space="0"/>
            </w:tcBorders>
            <w:vAlign w:val="center"/>
          </w:tcPr>
          <w:p w14:paraId="675D007B">
            <w:pPr>
              <w:widowControl/>
              <w:autoSpaceDE/>
              <w:spacing w:line="240" w:lineRule="auto"/>
              <w:jc w:val="center"/>
              <w:rPr>
                <w:rFonts w:hint="eastAsia" w:ascii="宋体" w:hAnsi="宋体" w:eastAsia="宋体" w:cs="宋体"/>
                <w:color w:val="auto"/>
                <w:sz w:val="21"/>
                <w:szCs w:val="21"/>
                <w:highlight w:val="none"/>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14:paraId="70A84CE4">
            <w:pPr>
              <w:widowControl/>
              <w:autoSpaceDE/>
              <w:spacing w:line="240" w:lineRule="auto"/>
              <w:jc w:val="center"/>
              <w:rPr>
                <w:rFonts w:hint="eastAsia" w:ascii="宋体" w:hAnsi="宋体" w:eastAsia="宋体" w:cs="宋体"/>
                <w:color w:val="auto"/>
                <w:sz w:val="21"/>
                <w:szCs w:val="21"/>
                <w:highlight w:val="none"/>
                <w:lang w:eastAsia="zh-CN"/>
              </w:rPr>
            </w:pPr>
          </w:p>
        </w:tc>
        <w:tc>
          <w:tcPr>
            <w:tcW w:w="1461" w:type="dxa"/>
            <w:tcBorders>
              <w:top w:val="single" w:color="auto" w:sz="4" w:space="0"/>
              <w:left w:val="single" w:color="auto" w:sz="4" w:space="0"/>
              <w:bottom w:val="single" w:color="auto" w:sz="4" w:space="0"/>
              <w:right w:val="single" w:color="auto" w:sz="4" w:space="0"/>
            </w:tcBorders>
            <w:vAlign w:val="center"/>
          </w:tcPr>
          <w:p w14:paraId="2003492F">
            <w:pPr>
              <w:widowControl/>
              <w:autoSpaceDE/>
              <w:spacing w:line="240" w:lineRule="auto"/>
              <w:jc w:val="center"/>
              <w:rPr>
                <w:rFonts w:hint="eastAsia" w:ascii="宋体" w:hAnsi="宋体" w:eastAsia="宋体" w:cs="宋体"/>
                <w:color w:val="auto"/>
                <w:sz w:val="21"/>
                <w:szCs w:val="21"/>
                <w:highlight w:val="none"/>
                <w:lang w:eastAsia="zh-CN"/>
              </w:rPr>
            </w:pPr>
          </w:p>
        </w:tc>
        <w:tc>
          <w:tcPr>
            <w:tcW w:w="1461" w:type="dxa"/>
            <w:tcBorders>
              <w:top w:val="single" w:color="auto" w:sz="4" w:space="0"/>
              <w:left w:val="single" w:color="auto" w:sz="4" w:space="0"/>
              <w:bottom w:val="single" w:color="auto" w:sz="4" w:space="0"/>
              <w:right w:val="single" w:color="auto" w:sz="4" w:space="0"/>
            </w:tcBorders>
            <w:vAlign w:val="center"/>
          </w:tcPr>
          <w:p w14:paraId="62CB5BE0">
            <w:pPr>
              <w:widowControl/>
              <w:autoSpaceDE/>
              <w:spacing w:line="240" w:lineRule="auto"/>
              <w:jc w:val="center"/>
              <w:rPr>
                <w:rFonts w:hint="eastAsia" w:ascii="宋体" w:hAnsi="宋体" w:eastAsia="宋体" w:cs="宋体"/>
                <w:color w:val="auto"/>
                <w:sz w:val="21"/>
                <w:szCs w:val="21"/>
                <w:highlight w:val="none"/>
                <w:lang w:eastAsia="zh-CN"/>
              </w:rPr>
            </w:pPr>
          </w:p>
        </w:tc>
      </w:tr>
      <w:tr w14:paraId="43A5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14:paraId="5F6C0F95">
            <w:pPr>
              <w:widowControl/>
              <w:autoSpaceDE/>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1587" w:type="dxa"/>
            <w:tcBorders>
              <w:top w:val="single" w:color="auto" w:sz="4" w:space="0"/>
              <w:left w:val="single" w:color="auto" w:sz="4" w:space="0"/>
              <w:bottom w:val="single" w:color="auto" w:sz="4" w:space="0"/>
              <w:right w:val="single" w:color="auto" w:sz="4" w:space="0"/>
            </w:tcBorders>
            <w:vAlign w:val="center"/>
          </w:tcPr>
          <w:p w14:paraId="06BBE594">
            <w:pPr>
              <w:widowControl/>
              <w:autoSpaceDE/>
              <w:spacing w:line="240" w:lineRule="auto"/>
              <w:jc w:val="center"/>
              <w:rPr>
                <w:rFonts w:hint="eastAsia" w:ascii="宋体" w:hAnsi="宋体" w:eastAsia="宋体" w:cs="宋体"/>
                <w:b/>
                <w:bCs/>
                <w:color w:val="auto"/>
                <w:sz w:val="20"/>
                <w:szCs w:val="20"/>
                <w:highlight w:val="none"/>
                <w:lang w:eastAsia="zh-CN"/>
              </w:rPr>
            </w:pPr>
          </w:p>
        </w:tc>
        <w:tc>
          <w:tcPr>
            <w:tcW w:w="3531" w:type="dxa"/>
            <w:tcBorders>
              <w:top w:val="single" w:color="auto" w:sz="4" w:space="0"/>
              <w:left w:val="single" w:color="auto" w:sz="4" w:space="0"/>
              <w:bottom w:val="single" w:color="auto" w:sz="4" w:space="0"/>
              <w:right w:val="single" w:color="auto" w:sz="4" w:space="0"/>
            </w:tcBorders>
            <w:vAlign w:val="center"/>
          </w:tcPr>
          <w:p w14:paraId="498FB08D">
            <w:pPr>
              <w:widowControl/>
              <w:autoSpaceDE/>
              <w:spacing w:line="240" w:lineRule="auto"/>
              <w:jc w:val="center"/>
              <w:rPr>
                <w:rFonts w:hint="eastAsia" w:ascii="宋体" w:hAnsi="宋体" w:eastAsia="宋体" w:cs="宋体"/>
                <w:b/>
                <w:bCs/>
                <w:color w:val="auto"/>
                <w:sz w:val="20"/>
                <w:szCs w:val="20"/>
                <w:highlight w:val="none"/>
                <w:lang w:eastAsia="zh-CN"/>
              </w:rPr>
            </w:pPr>
          </w:p>
        </w:tc>
        <w:tc>
          <w:tcPr>
            <w:tcW w:w="3277" w:type="dxa"/>
            <w:tcBorders>
              <w:top w:val="single" w:color="auto" w:sz="4" w:space="0"/>
              <w:left w:val="single" w:color="auto" w:sz="4" w:space="0"/>
              <w:bottom w:val="single" w:color="auto" w:sz="4" w:space="0"/>
              <w:right w:val="single" w:color="auto" w:sz="4" w:space="0"/>
            </w:tcBorders>
            <w:vAlign w:val="center"/>
          </w:tcPr>
          <w:p w14:paraId="1F8BCEDE">
            <w:pPr>
              <w:widowControl/>
              <w:autoSpaceDE/>
              <w:spacing w:line="240" w:lineRule="auto"/>
              <w:jc w:val="center"/>
              <w:rPr>
                <w:rFonts w:hint="eastAsia" w:ascii="宋体" w:hAnsi="宋体" w:eastAsia="宋体" w:cs="宋体"/>
                <w:color w:val="auto"/>
                <w:sz w:val="21"/>
                <w:szCs w:val="21"/>
                <w:highlight w:val="none"/>
                <w:lang w:eastAsia="zh-CN"/>
              </w:rPr>
            </w:pPr>
          </w:p>
        </w:tc>
        <w:tc>
          <w:tcPr>
            <w:tcW w:w="1177" w:type="dxa"/>
            <w:tcBorders>
              <w:top w:val="single" w:color="auto" w:sz="4" w:space="0"/>
              <w:left w:val="single" w:color="auto" w:sz="4" w:space="0"/>
              <w:bottom w:val="single" w:color="auto" w:sz="4" w:space="0"/>
              <w:right w:val="single" w:color="auto" w:sz="4" w:space="0"/>
            </w:tcBorders>
            <w:vAlign w:val="center"/>
          </w:tcPr>
          <w:p w14:paraId="71174875">
            <w:pPr>
              <w:widowControl/>
              <w:autoSpaceDE/>
              <w:spacing w:line="240" w:lineRule="auto"/>
              <w:jc w:val="center"/>
              <w:rPr>
                <w:rFonts w:hint="eastAsia" w:ascii="宋体" w:hAnsi="宋体" w:eastAsia="宋体" w:cs="宋体"/>
                <w:color w:val="auto"/>
                <w:sz w:val="21"/>
                <w:szCs w:val="21"/>
                <w:highlight w:val="none"/>
                <w:lang w:eastAsia="zh-CN"/>
              </w:rPr>
            </w:pPr>
          </w:p>
        </w:tc>
        <w:tc>
          <w:tcPr>
            <w:tcW w:w="1461" w:type="dxa"/>
            <w:tcBorders>
              <w:top w:val="single" w:color="auto" w:sz="4" w:space="0"/>
              <w:left w:val="single" w:color="auto" w:sz="4" w:space="0"/>
              <w:bottom w:val="single" w:color="auto" w:sz="4" w:space="0"/>
              <w:right w:val="single" w:color="auto" w:sz="4" w:space="0"/>
            </w:tcBorders>
            <w:vAlign w:val="center"/>
          </w:tcPr>
          <w:p w14:paraId="3A520D84">
            <w:pPr>
              <w:widowControl/>
              <w:autoSpaceDE/>
              <w:spacing w:line="240" w:lineRule="auto"/>
              <w:jc w:val="center"/>
              <w:rPr>
                <w:rFonts w:hint="eastAsia" w:ascii="宋体" w:hAnsi="宋体" w:eastAsia="宋体" w:cs="宋体"/>
                <w:color w:val="auto"/>
                <w:sz w:val="21"/>
                <w:szCs w:val="21"/>
                <w:highlight w:val="none"/>
                <w:lang w:eastAsia="zh-CN"/>
              </w:rPr>
            </w:pPr>
          </w:p>
        </w:tc>
        <w:tc>
          <w:tcPr>
            <w:tcW w:w="1461" w:type="dxa"/>
            <w:tcBorders>
              <w:top w:val="single" w:color="auto" w:sz="4" w:space="0"/>
              <w:left w:val="single" w:color="auto" w:sz="4" w:space="0"/>
              <w:bottom w:val="single" w:color="auto" w:sz="4" w:space="0"/>
              <w:right w:val="single" w:color="auto" w:sz="4" w:space="0"/>
            </w:tcBorders>
            <w:vAlign w:val="center"/>
          </w:tcPr>
          <w:p w14:paraId="4E78CC87">
            <w:pPr>
              <w:widowControl/>
              <w:autoSpaceDE/>
              <w:spacing w:line="240" w:lineRule="auto"/>
              <w:jc w:val="center"/>
              <w:rPr>
                <w:rFonts w:hint="eastAsia" w:ascii="宋体" w:hAnsi="宋体" w:eastAsia="宋体" w:cs="宋体"/>
                <w:color w:val="auto"/>
                <w:sz w:val="21"/>
                <w:szCs w:val="21"/>
                <w:highlight w:val="none"/>
                <w:lang w:eastAsia="zh-CN"/>
              </w:rPr>
            </w:pPr>
          </w:p>
        </w:tc>
      </w:tr>
    </w:tbl>
    <w:p w14:paraId="76EC7BE5">
      <w:pPr>
        <w:widowControl/>
        <w:autoSpaceDE/>
        <w:spacing w:before="240" w:beforeLines="100" w:line="240" w:lineRule="auto"/>
        <w:ind w:left="5277" w:leftChars="251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（盖章）</w:t>
      </w:r>
    </w:p>
    <w:p w14:paraId="7EC00334">
      <w:pPr>
        <w:widowControl/>
        <w:autoSpaceDE/>
        <w:spacing w:line="240" w:lineRule="auto"/>
        <w:ind w:left="5277" w:leftChars="251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法定代表人（单位负责人）或其委托代理人：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（签字或盖章）</w:t>
      </w:r>
    </w:p>
    <w:p w14:paraId="4DB610C3">
      <w:pPr>
        <w:widowControl/>
        <w:autoSpaceDE/>
        <w:spacing w:line="240" w:lineRule="auto"/>
        <w:ind w:left="5277" w:leftChars="2513" w:firstLine="2730" w:firstLineChars="13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日</w:t>
      </w:r>
    </w:p>
    <w:p w14:paraId="3F0B4335">
      <w:pPr>
        <w:widowControl/>
        <w:autoSpaceDE/>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表格填写说明：</w:t>
      </w:r>
    </w:p>
    <w:p w14:paraId="2B95D81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1、表格中“项目名称”及“招标文件中的</w:t>
      </w:r>
      <w:r>
        <w:rPr>
          <w:rFonts w:hint="eastAsia" w:ascii="宋体" w:hAnsi="宋体" w:eastAsia="宋体" w:cs="宋体"/>
          <w:bCs/>
          <w:color w:val="auto"/>
          <w:sz w:val="21"/>
          <w:szCs w:val="21"/>
          <w:highlight w:val="none"/>
          <w:lang w:eastAsia="zh-CN"/>
        </w:rPr>
        <w:t>规格或详细性能要求</w:t>
      </w:r>
      <w:r>
        <w:rPr>
          <w:rFonts w:hint="eastAsia" w:ascii="宋体" w:hAnsi="宋体" w:eastAsia="宋体" w:cs="宋体"/>
          <w:color w:val="auto"/>
          <w:sz w:val="21"/>
          <w:szCs w:val="21"/>
          <w:highlight w:val="none"/>
          <w:lang w:eastAsia="zh-CN"/>
        </w:rPr>
        <w:t>”可按第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lang w:eastAsia="zh-CN"/>
        </w:rPr>
        <w:t>章“</w:t>
      </w:r>
      <w:r>
        <w:rPr>
          <w:rFonts w:hint="eastAsia" w:ascii="宋体" w:hAnsi="宋体" w:eastAsia="宋体" w:cs="宋体"/>
          <w:b/>
          <w:bCs/>
          <w:color w:val="auto"/>
          <w:sz w:val="21"/>
          <w:szCs w:val="21"/>
          <w:highlight w:val="none"/>
          <w:lang w:eastAsia="zh-CN"/>
        </w:rPr>
        <w:t>采购需求</w:t>
      </w:r>
      <w:r>
        <w:rPr>
          <w:rFonts w:hint="eastAsia" w:ascii="宋体" w:hAnsi="宋体" w:eastAsia="宋体" w:cs="宋体"/>
          <w:b/>
          <w:bCs/>
          <w:color w:val="auto"/>
          <w:sz w:val="21"/>
          <w:szCs w:val="21"/>
          <w:highlight w:val="none"/>
          <w:lang w:val="en-US" w:eastAsia="zh-CN"/>
        </w:rPr>
        <w:t>及要求</w:t>
      </w:r>
      <w:r>
        <w:rPr>
          <w:rFonts w:hint="eastAsia" w:ascii="宋体" w:hAnsi="宋体" w:eastAsia="宋体" w:cs="宋体"/>
          <w:color w:val="auto"/>
          <w:sz w:val="21"/>
          <w:szCs w:val="21"/>
          <w:highlight w:val="none"/>
          <w:lang w:eastAsia="zh-CN"/>
        </w:rPr>
        <w:t>”内容复制。</w:t>
      </w:r>
    </w:p>
    <w:p w14:paraId="580CA5C0">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2、表格中“投标品牌、型号、</w:t>
      </w:r>
      <w:r>
        <w:rPr>
          <w:rFonts w:hint="eastAsia" w:ascii="宋体" w:hAnsi="宋体" w:eastAsia="宋体" w:cs="宋体"/>
          <w:bCs/>
          <w:color w:val="auto"/>
          <w:sz w:val="21"/>
          <w:szCs w:val="21"/>
          <w:highlight w:val="none"/>
          <w:lang w:eastAsia="zh-CN"/>
        </w:rPr>
        <w:t>规格、详细性能</w:t>
      </w:r>
      <w:r>
        <w:rPr>
          <w:rFonts w:hint="eastAsia" w:ascii="宋体" w:hAnsi="宋体" w:eastAsia="宋体" w:cs="宋体"/>
          <w:color w:val="auto"/>
          <w:sz w:val="21"/>
          <w:szCs w:val="21"/>
          <w:highlight w:val="none"/>
          <w:lang w:eastAsia="zh-CN"/>
        </w:rPr>
        <w:t>”请根据实际所报产品及服务情况如实、完整、准确地填写，投标人提供的单个设备只能填报一个品牌，一个设备有多个零件或产品组成的，其中的单个零件或产品只能填报一个品牌。</w:t>
      </w:r>
    </w:p>
    <w:p w14:paraId="1A50780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3、表格中“偏离”部分，只能如实填写“正偏离”、“负偏离”或“无偏离”。凡响应内容与招标文件要求有区别的均按“有偏离“填写，并在说明栏中写明技术指标。</w:t>
      </w:r>
    </w:p>
    <w:p w14:paraId="11352BF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4、表格中“说明”部分，若有偏离，则填写偏离指标。若无偏离，则不填写内容。</w:t>
      </w:r>
    </w:p>
    <w:p w14:paraId="7AF29935">
      <w:pPr>
        <w:spacing w:line="240" w:lineRule="auto"/>
        <w:rPr>
          <w:rFonts w:hint="eastAsia" w:ascii="宋体" w:hAnsi="宋体" w:eastAsia="宋体" w:cs="宋体"/>
          <w:color w:val="auto"/>
          <w:sz w:val="16"/>
          <w:szCs w:val="16"/>
          <w:highlight w:val="none"/>
          <w:lang w:eastAsia="zh-CN"/>
        </w:rPr>
      </w:pPr>
    </w:p>
    <w:bookmarkEnd w:id="84"/>
    <w:p w14:paraId="4DF663DB">
      <w:pPr>
        <w:numPr>
          <w:ilvl w:val="0"/>
          <w:numId w:val="0"/>
        </w:numPr>
        <w:bidi w:val="0"/>
        <w:jc w:val="both"/>
        <w:rPr>
          <w:rFonts w:hint="eastAsia" w:ascii="宋体" w:hAnsi="宋体" w:eastAsia="宋体" w:cs="宋体"/>
          <w:b/>
          <w:bCs/>
          <w:color w:val="auto"/>
          <w:sz w:val="32"/>
          <w:szCs w:val="32"/>
          <w:highlight w:val="none"/>
          <w:lang w:val="en-US" w:eastAsia="zh-CN" w:bidi="ar-SA"/>
        </w:rPr>
        <w:sectPr>
          <w:headerReference r:id="rId13" w:type="default"/>
          <w:footerReference r:id="rId14" w:type="default"/>
          <w:pgSz w:w="16838" w:h="11906" w:orient="landscape"/>
          <w:pgMar w:top="1800" w:right="1440" w:bottom="1800" w:left="1440" w:header="851" w:footer="992" w:gutter="0"/>
          <w:cols w:space="425" w:num="1"/>
          <w:docGrid w:type="lines" w:linePitch="312" w:charSpace="0"/>
        </w:sectPr>
      </w:pPr>
    </w:p>
    <w:p w14:paraId="09331158">
      <w:pPr>
        <w:numPr>
          <w:ilvl w:val="0"/>
          <w:numId w:val="0"/>
        </w:numPr>
        <w:bidi w:val="0"/>
        <w:jc w:val="center"/>
        <w:outlineLvl w:val="3"/>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（二）技术支持资料</w:t>
      </w:r>
    </w:p>
    <w:p w14:paraId="7AEDB15B">
      <w:pPr>
        <w:pStyle w:val="2"/>
        <w:ind w:left="0" w:leftChars="0" w:firstLine="0" w:firstLineChars="0"/>
        <w:rPr>
          <w:rFonts w:hint="eastAsia" w:ascii="宋体" w:hAnsi="宋体" w:eastAsia="宋体" w:cs="宋体"/>
          <w:b/>
          <w:bCs/>
          <w:color w:val="auto"/>
          <w:sz w:val="32"/>
          <w:szCs w:val="32"/>
          <w:highlight w:val="none"/>
          <w:lang w:val="en-US" w:eastAsia="zh-CN" w:bidi="ar-SA"/>
        </w:rPr>
      </w:pPr>
    </w:p>
    <w:p w14:paraId="6EF951C5">
      <w:pPr>
        <w:pStyle w:val="2"/>
        <w:ind w:left="0" w:leftChars="0" w:firstLine="0" w:firstLineChars="0"/>
        <w:rPr>
          <w:rFonts w:hint="eastAsia" w:ascii="宋体" w:hAnsi="宋体" w:eastAsia="宋体" w:cs="宋体"/>
          <w:b/>
          <w:bCs/>
          <w:color w:val="auto"/>
          <w:sz w:val="32"/>
          <w:szCs w:val="32"/>
          <w:highlight w:val="none"/>
          <w:lang w:val="en-US" w:eastAsia="zh-CN" w:bidi="ar-SA"/>
        </w:rPr>
      </w:pPr>
    </w:p>
    <w:p w14:paraId="0F747023">
      <w:pPr>
        <w:pStyle w:val="2"/>
        <w:ind w:left="0" w:leftChars="0" w:firstLine="0" w:firstLineChars="0"/>
        <w:rPr>
          <w:rFonts w:hint="eastAsia" w:ascii="宋体" w:hAnsi="宋体" w:eastAsia="宋体" w:cs="宋体"/>
          <w:b/>
          <w:bCs/>
          <w:color w:val="auto"/>
          <w:sz w:val="32"/>
          <w:szCs w:val="32"/>
          <w:highlight w:val="none"/>
          <w:lang w:val="en-US" w:eastAsia="zh-CN" w:bidi="ar-SA"/>
        </w:rPr>
      </w:pPr>
    </w:p>
    <w:p w14:paraId="195D1D6B">
      <w:pPr>
        <w:pStyle w:val="2"/>
        <w:ind w:left="0" w:leftChars="0" w:firstLine="0" w:firstLineChars="0"/>
        <w:rPr>
          <w:rFonts w:hint="eastAsia" w:ascii="宋体" w:hAnsi="宋体" w:eastAsia="宋体" w:cs="宋体"/>
          <w:b/>
          <w:bCs/>
          <w:color w:val="auto"/>
          <w:sz w:val="32"/>
          <w:szCs w:val="32"/>
          <w:highlight w:val="none"/>
          <w:lang w:val="en-US" w:eastAsia="zh-CN" w:bidi="ar-SA"/>
        </w:rPr>
      </w:pPr>
    </w:p>
    <w:p w14:paraId="3EC6DAA3">
      <w:pPr>
        <w:pStyle w:val="2"/>
        <w:ind w:left="0" w:leftChars="0" w:firstLine="0" w:firstLineChars="0"/>
        <w:rPr>
          <w:rFonts w:hint="eastAsia" w:ascii="宋体" w:hAnsi="宋体" w:eastAsia="宋体" w:cs="宋体"/>
          <w:b/>
          <w:bCs/>
          <w:color w:val="auto"/>
          <w:sz w:val="32"/>
          <w:szCs w:val="32"/>
          <w:highlight w:val="none"/>
          <w:lang w:val="en-US" w:eastAsia="zh-CN" w:bidi="ar-SA"/>
        </w:rPr>
      </w:pPr>
    </w:p>
    <w:p w14:paraId="71D17594">
      <w:pPr>
        <w:pStyle w:val="2"/>
        <w:ind w:left="0" w:leftChars="0" w:firstLine="0" w:firstLineChars="0"/>
        <w:rPr>
          <w:rStyle w:val="34"/>
          <w:rFonts w:hint="eastAsia" w:ascii="宋体" w:hAnsi="宋体" w:eastAsia="宋体" w:cs="宋体"/>
          <w:b/>
          <w:bCs/>
          <w:color w:val="auto"/>
          <w:sz w:val="21"/>
          <w:highlight w:val="none"/>
          <w:lang w:eastAsia="zh-CN"/>
        </w:rPr>
      </w:pPr>
    </w:p>
    <w:p w14:paraId="79161E02">
      <w:pPr>
        <w:spacing w:line="360" w:lineRule="auto"/>
        <w:rPr>
          <w:rFonts w:hint="eastAsia" w:ascii="宋体" w:hAnsi="宋体" w:eastAsia="宋体" w:cs="宋体"/>
          <w:b/>
          <w:bCs/>
          <w:color w:val="auto"/>
          <w:sz w:val="32"/>
          <w:szCs w:val="32"/>
          <w:highlight w:val="none"/>
          <w:lang w:val="en-US" w:eastAsia="zh-CN" w:bidi="ar-SA"/>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14:paraId="76D16781">
      <w:pPr>
        <w:jc w:val="center"/>
        <w:outlineLvl w:val="2"/>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color w:val="auto"/>
          <w:sz w:val="32"/>
          <w:szCs w:val="32"/>
          <w:highlight w:val="none"/>
          <w:lang w:val="en-US" w:eastAsia="zh-CN"/>
        </w:rPr>
        <w:t>八、商务部分</w:t>
      </w:r>
    </w:p>
    <w:p w14:paraId="31664F01">
      <w:pPr>
        <w:pStyle w:val="29"/>
        <w:spacing w:line="443" w:lineRule="exact"/>
        <w:ind w:left="0" w:leftChars="0" w:right="1" w:firstLine="0" w:firstLineChars="0"/>
        <w:jc w:val="center"/>
        <w:outlineLvl w:val="3"/>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（一）产品质量承诺及保证措施</w:t>
      </w:r>
    </w:p>
    <w:p w14:paraId="48204460">
      <w:pPr>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（格式内容自拟）</w:t>
      </w:r>
    </w:p>
    <w:p w14:paraId="3A5AF99D">
      <w:pPr>
        <w:pStyle w:val="7"/>
        <w:rPr>
          <w:rFonts w:hint="eastAsia" w:ascii="宋体" w:hAnsi="宋体" w:eastAsia="宋体" w:cs="宋体"/>
          <w:color w:val="auto"/>
          <w:highlight w:val="none"/>
          <w:lang w:val="en-US" w:eastAsia="zh-CN"/>
        </w:rPr>
      </w:pPr>
    </w:p>
    <w:p w14:paraId="1EB8DD9A">
      <w:pPr>
        <w:rPr>
          <w:rFonts w:hint="eastAsia" w:ascii="宋体" w:hAnsi="宋体" w:eastAsia="宋体" w:cs="宋体"/>
          <w:color w:val="auto"/>
          <w:highlight w:val="none"/>
          <w:lang w:val="en-US" w:eastAsia="zh-CN"/>
        </w:rPr>
      </w:pPr>
    </w:p>
    <w:p w14:paraId="0394150E">
      <w:pPr>
        <w:pStyle w:val="7"/>
        <w:rPr>
          <w:rFonts w:hint="eastAsia" w:ascii="宋体" w:hAnsi="宋体" w:eastAsia="宋体" w:cs="宋体"/>
          <w:color w:val="auto"/>
          <w:highlight w:val="none"/>
          <w:lang w:val="en-US" w:eastAsia="zh-CN"/>
        </w:rPr>
      </w:pPr>
    </w:p>
    <w:p w14:paraId="30667343">
      <w:pPr>
        <w:rPr>
          <w:rFonts w:hint="eastAsia" w:ascii="宋体" w:hAnsi="宋体" w:eastAsia="宋体" w:cs="宋体"/>
          <w:color w:val="auto"/>
          <w:highlight w:val="none"/>
          <w:lang w:val="en-US" w:eastAsia="zh-CN"/>
        </w:rPr>
      </w:pPr>
    </w:p>
    <w:p w14:paraId="63AA0AA2">
      <w:pPr>
        <w:pStyle w:val="7"/>
        <w:rPr>
          <w:rFonts w:hint="eastAsia" w:ascii="宋体" w:hAnsi="宋体" w:eastAsia="宋体" w:cs="宋体"/>
          <w:color w:val="auto"/>
          <w:highlight w:val="none"/>
          <w:lang w:val="en-US" w:eastAsia="zh-CN"/>
        </w:rPr>
      </w:pPr>
    </w:p>
    <w:p w14:paraId="46EF618D">
      <w:pPr>
        <w:rPr>
          <w:rFonts w:hint="eastAsia" w:ascii="宋体" w:hAnsi="宋体" w:eastAsia="宋体" w:cs="宋体"/>
          <w:color w:val="auto"/>
          <w:highlight w:val="none"/>
          <w:lang w:val="en-US" w:eastAsia="zh-CN"/>
        </w:rPr>
      </w:pPr>
    </w:p>
    <w:p w14:paraId="228F31FE">
      <w:pPr>
        <w:pStyle w:val="7"/>
        <w:rPr>
          <w:rFonts w:hint="eastAsia" w:ascii="宋体" w:hAnsi="宋体" w:eastAsia="宋体" w:cs="宋体"/>
          <w:color w:val="auto"/>
          <w:highlight w:val="none"/>
          <w:lang w:val="en-US" w:eastAsia="zh-CN"/>
        </w:rPr>
      </w:pPr>
    </w:p>
    <w:p w14:paraId="28FFD89D">
      <w:pPr>
        <w:rPr>
          <w:rFonts w:hint="eastAsia" w:ascii="宋体" w:hAnsi="宋体" w:eastAsia="宋体" w:cs="宋体"/>
          <w:color w:val="auto"/>
          <w:highlight w:val="none"/>
          <w:lang w:val="en-US" w:eastAsia="zh-CN"/>
        </w:rPr>
      </w:pPr>
    </w:p>
    <w:p w14:paraId="0F31FD8B">
      <w:pPr>
        <w:pStyle w:val="7"/>
        <w:rPr>
          <w:rFonts w:hint="eastAsia" w:ascii="宋体" w:hAnsi="宋体" w:eastAsia="宋体" w:cs="宋体"/>
          <w:color w:val="auto"/>
          <w:highlight w:val="none"/>
          <w:lang w:val="en-US" w:eastAsia="zh-CN"/>
        </w:rPr>
      </w:pPr>
    </w:p>
    <w:p w14:paraId="606A5933">
      <w:pPr>
        <w:rPr>
          <w:rFonts w:hint="eastAsia" w:ascii="宋体" w:hAnsi="宋体" w:eastAsia="宋体" w:cs="宋体"/>
          <w:color w:val="auto"/>
          <w:highlight w:val="none"/>
          <w:lang w:val="en-US" w:eastAsia="zh-CN"/>
        </w:rPr>
      </w:pPr>
    </w:p>
    <w:p w14:paraId="2714C199">
      <w:pPr>
        <w:pStyle w:val="7"/>
        <w:rPr>
          <w:rFonts w:hint="eastAsia" w:ascii="宋体" w:hAnsi="宋体" w:eastAsia="宋体" w:cs="宋体"/>
          <w:color w:val="auto"/>
          <w:highlight w:val="none"/>
          <w:lang w:val="en-US" w:eastAsia="zh-CN"/>
        </w:rPr>
      </w:pPr>
    </w:p>
    <w:p w14:paraId="3CC7A237">
      <w:pPr>
        <w:rPr>
          <w:rFonts w:hint="eastAsia" w:ascii="宋体" w:hAnsi="宋体" w:eastAsia="宋体" w:cs="宋体"/>
          <w:color w:val="auto"/>
          <w:highlight w:val="none"/>
          <w:lang w:val="en-US" w:eastAsia="zh-CN"/>
        </w:rPr>
      </w:pPr>
    </w:p>
    <w:p w14:paraId="199EFDAF">
      <w:pPr>
        <w:pStyle w:val="7"/>
        <w:rPr>
          <w:rFonts w:hint="eastAsia" w:ascii="宋体" w:hAnsi="宋体" w:eastAsia="宋体" w:cs="宋体"/>
          <w:color w:val="auto"/>
          <w:highlight w:val="none"/>
          <w:lang w:val="en-US" w:eastAsia="zh-CN"/>
        </w:rPr>
      </w:pPr>
    </w:p>
    <w:p w14:paraId="4E1B0935">
      <w:pPr>
        <w:rPr>
          <w:rFonts w:hint="eastAsia" w:ascii="宋体" w:hAnsi="宋体" w:eastAsia="宋体" w:cs="宋体"/>
          <w:color w:val="auto"/>
          <w:highlight w:val="none"/>
          <w:lang w:val="en-US" w:eastAsia="zh-CN"/>
        </w:rPr>
      </w:pPr>
    </w:p>
    <w:p w14:paraId="3FBB701D">
      <w:pPr>
        <w:pStyle w:val="7"/>
        <w:rPr>
          <w:rFonts w:hint="eastAsia" w:ascii="宋体" w:hAnsi="宋体" w:eastAsia="宋体" w:cs="宋体"/>
          <w:color w:val="auto"/>
          <w:highlight w:val="none"/>
          <w:lang w:val="en-US" w:eastAsia="zh-CN"/>
        </w:rPr>
      </w:pPr>
    </w:p>
    <w:p w14:paraId="2FEFD876">
      <w:pPr>
        <w:rPr>
          <w:rFonts w:hint="eastAsia" w:ascii="宋体" w:hAnsi="宋体" w:eastAsia="宋体" w:cs="宋体"/>
          <w:color w:val="auto"/>
          <w:highlight w:val="none"/>
          <w:lang w:val="en-US" w:eastAsia="zh-CN"/>
        </w:rPr>
      </w:pPr>
    </w:p>
    <w:p w14:paraId="408BB87B">
      <w:pPr>
        <w:pStyle w:val="7"/>
        <w:rPr>
          <w:rFonts w:hint="eastAsia" w:ascii="宋体" w:hAnsi="宋体" w:eastAsia="宋体" w:cs="宋体"/>
          <w:color w:val="auto"/>
          <w:highlight w:val="none"/>
          <w:lang w:val="en-US" w:eastAsia="zh-CN"/>
        </w:rPr>
      </w:pPr>
    </w:p>
    <w:p w14:paraId="031EB399">
      <w:pPr>
        <w:rPr>
          <w:rFonts w:hint="eastAsia" w:ascii="宋体" w:hAnsi="宋体" w:eastAsia="宋体" w:cs="宋体"/>
          <w:color w:val="auto"/>
          <w:highlight w:val="none"/>
          <w:lang w:val="en-US" w:eastAsia="zh-CN"/>
        </w:rPr>
      </w:pPr>
    </w:p>
    <w:p w14:paraId="6160D3A9">
      <w:pPr>
        <w:pStyle w:val="7"/>
        <w:rPr>
          <w:rFonts w:hint="eastAsia" w:ascii="宋体" w:hAnsi="宋体" w:eastAsia="宋体" w:cs="宋体"/>
          <w:color w:val="auto"/>
          <w:highlight w:val="none"/>
          <w:lang w:val="en-US" w:eastAsia="zh-CN"/>
        </w:rPr>
      </w:pPr>
    </w:p>
    <w:p w14:paraId="03E12A3B">
      <w:pPr>
        <w:rPr>
          <w:rFonts w:hint="eastAsia" w:ascii="宋体" w:hAnsi="宋体" w:eastAsia="宋体" w:cs="宋体"/>
          <w:color w:val="auto"/>
          <w:highlight w:val="none"/>
          <w:lang w:val="en-US" w:eastAsia="zh-CN"/>
        </w:rPr>
      </w:pPr>
    </w:p>
    <w:p w14:paraId="0BA09742">
      <w:pPr>
        <w:rPr>
          <w:rFonts w:hint="eastAsia" w:ascii="宋体" w:hAnsi="宋体" w:eastAsia="宋体" w:cs="宋体"/>
          <w:color w:val="auto"/>
          <w:highlight w:val="none"/>
          <w:lang w:val="en-US" w:eastAsia="zh-CN"/>
        </w:rPr>
      </w:pPr>
    </w:p>
    <w:p w14:paraId="641BF4E1">
      <w:pPr>
        <w:pStyle w:val="7"/>
        <w:jc w:val="center"/>
        <w:outlineLvl w:val="3"/>
        <w:rPr>
          <w:rFonts w:hint="eastAsia" w:ascii="宋体" w:hAnsi="宋体" w:eastAsia="宋体" w:cs="宋体"/>
          <w:b/>
          <w:bCs/>
          <w:color w:val="auto"/>
          <w:sz w:val="32"/>
          <w:szCs w:val="32"/>
          <w:highlight w:val="none"/>
          <w:lang w:val="en-US" w:eastAsia="zh-CN" w:bidi="ar-SA"/>
        </w:rPr>
      </w:pPr>
      <w:r>
        <w:rPr>
          <w:rFonts w:hint="eastAsia" w:ascii="宋体" w:hAnsi="宋体" w:eastAsia="宋体" w:cs="宋体"/>
          <w:b/>
          <w:bCs/>
          <w:color w:val="auto"/>
          <w:sz w:val="32"/>
          <w:szCs w:val="32"/>
          <w:highlight w:val="none"/>
          <w:lang w:val="en-US" w:eastAsia="zh-CN" w:bidi="ar-SA"/>
        </w:rPr>
        <w:t>（二）交货进度安排及培训计划</w:t>
      </w:r>
    </w:p>
    <w:p w14:paraId="78E7A4CE">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（格式内容自拟）</w:t>
      </w:r>
    </w:p>
    <w:p w14:paraId="38AB86A4">
      <w:pPr>
        <w:pStyle w:val="7"/>
        <w:rPr>
          <w:rFonts w:hint="eastAsia" w:ascii="宋体" w:hAnsi="宋体" w:eastAsia="宋体" w:cs="宋体"/>
          <w:color w:val="auto"/>
          <w:highlight w:val="none"/>
          <w:lang w:eastAsia="zh-CN"/>
        </w:rPr>
      </w:pPr>
    </w:p>
    <w:p w14:paraId="0E416377">
      <w:pPr>
        <w:rPr>
          <w:rFonts w:hint="eastAsia" w:ascii="宋体" w:hAnsi="宋体" w:eastAsia="宋体" w:cs="宋体"/>
          <w:color w:val="auto"/>
          <w:highlight w:val="none"/>
          <w:lang w:eastAsia="zh-CN"/>
        </w:rPr>
      </w:pPr>
    </w:p>
    <w:p w14:paraId="2F0A9130">
      <w:pPr>
        <w:pStyle w:val="7"/>
        <w:rPr>
          <w:rFonts w:hint="eastAsia" w:ascii="宋体" w:hAnsi="宋体" w:eastAsia="宋体" w:cs="宋体"/>
          <w:color w:val="auto"/>
          <w:highlight w:val="none"/>
          <w:lang w:eastAsia="zh-CN"/>
        </w:rPr>
      </w:pPr>
    </w:p>
    <w:p w14:paraId="672BE128">
      <w:pPr>
        <w:rPr>
          <w:rFonts w:hint="eastAsia" w:ascii="宋体" w:hAnsi="宋体" w:eastAsia="宋体" w:cs="宋体"/>
          <w:color w:val="auto"/>
          <w:highlight w:val="none"/>
          <w:lang w:eastAsia="zh-CN"/>
        </w:rPr>
      </w:pPr>
    </w:p>
    <w:p w14:paraId="6D3A48C2">
      <w:pPr>
        <w:pStyle w:val="7"/>
        <w:rPr>
          <w:rFonts w:hint="eastAsia" w:ascii="宋体" w:hAnsi="宋体" w:eastAsia="宋体" w:cs="宋体"/>
          <w:color w:val="auto"/>
          <w:highlight w:val="none"/>
          <w:lang w:eastAsia="zh-CN"/>
        </w:rPr>
      </w:pPr>
    </w:p>
    <w:p w14:paraId="41ABB2CA">
      <w:pPr>
        <w:rPr>
          <w:rFonts w:hint="eastAsia" w:ascii="宋体" w:hAnsi="宋体" w:eastAsia="宋体" w:cs="宋体"/>
          <w:color w:val="auto"/>
          <w:highlight w:val="none"/>
          <w:lang w:eastAsia="zh-CN"/>
        </w:rPr>
      </w:pPr>
    </w:p>
    <w:p w14:paraId="1A531BC3">
      <w:pPr>
        <w:pStyle w:val="7"/>
        <w:rPr>
          <w:rFonts w:hint="eastAsia" w:ascii="宋体" w:hAnsi="宋体" w:eastAsia="宋体" w:cs="宋体"/>
          <w:color w:val="auto"/>
          <w:highlight w:val="none"/>
          <w:lang w:eastAsia="zh-CN"/>
        </w:rPr>
      </w:pPr>
    </w:p>
    <w:p w14:paraId="4C35EB7B">
      <w:pPr>
        <w:rPr>
          <w:rFonts w:hint="eastAsia" w:ascii="宋体" w:hAnsi="宋体" w:eastAsia="宋体" w:cs="宋体"/>
          <w:color w:val="auto"/>
          <w:highlight w:val="none"/>
          <w:lang w:eastAsia="zh-CN"/>
        </w:rPr>
      </w:pPr>
    </w:p>
    <w:p w14:paraId="58CAC0C5">
      <w:pPr>
        <w:pStyle w:val="7"/>
        <w:rPr>
          <w:rFonts w:hint="eastAsia" w:ascii="宋体" w:hAnsi="宋体" w:eastAsia="宋体" w:cs="宋体"/>
          <w:color w:val="auto"/>
          <w:highlight w:val="none"/>
          <w:lang w:eastAsia="zh-CN"/>
        </w:rPr>
      </w:pPr>
    </w:p>
    <w:p w14:paraId="3263C9F3">
      <w:pPr>
        <w:rPr>
          <w:rFonts w:hint="eastAsia" w:ascii="宋体" w:hAnsi="宋体" w:eastAsia="宋体" w:cs="宋体"/>
          <w:color w:val="auto"/>
          <w:highlight w:val="none"/>
          <w:lang w:eastAsia="zh-CN"/>
        </w:rPr>
      </w:pPr>
    </w:p>
    <w:p w14:paraId="79D63EDE">
      <w:pPr>
        <w:pStyle w:val="7"/>
        <w:rPr>
          <w:rFonts w:hint="eastAsia" w:ascii="宋体" w:hAnsi="宋体" w:eastAsia="宋体" w:cs="宋体"/>
          <w:color w:val="auto"/>
          <w:highlight w:val="none"/>
          <w:lang w:eastAsia="zh-CN"/>
        </w:rPr>
      </w:pPr>
    </w:p>
    <w:p w14:paraId="783A8E40">
      <w:pPr>
        <w:rPr>
          <w:rFonts w:hint="eastAsia" w:ascii="宋体" w:hAnsi="宋体" w:eastAsia="宋体" w:cs="宋体"/>
          <w:color w:val="auto"/>
          <w:highlight w:val="none"/>
          <w:lang w:eastAsia="zh-CN"/>
        </w:rPr>
      </w:pPr>
    </w:p>
    <w:p w14:paraId="3B62719C">
      <w:pPr>
        <w:pStyle w:val="7"/>
        <w:rPr>
          <w:rFonts w:hint="eastAsia" w:ascii="宋体" w:hAnsi="宋体" w:eastAsia="宋体" w:cs="宋体"/>
          <w:color w:val="auto"/>
          <w:highlight w:val="none"/>
          <w:lang w:eastAsia="zh-CN"/>
        </w:rPr>
      </w:pPr>
    </w:p>
    <w:p w14:paraId="61F37425">
      <w:pPr>
        <w:rPr>
          <w:rFonts w:hint="eastAsia" w:ascii="宋体" w:hAnsi="宋体" w:eastAsia="宋体" w:cs="宋体"/>
          <w:color w:val="auto"/>
          <w:highlight w:val="none"/>
          <w:lang w:eastAsia="zh-CN"/>
        </w:rPr>
      </w:pPr>
    </w:p>
    <w:p w14:paraId="2E4D0030">
      <w:pPr>
        <w:pStyle w:val="7"/>
        <w:rPr>
          <w:rFonts w:hint="eastAsia" w:ascii="宋体" w:hAnsi="宋体" w:eastAsia="宋体" w:cs="宋体"/>
          <w:color w:val="auto"/>
          <w:highlight w:val="none"/>
          <w:lang w:eastAsia="zh-CN"/>
        </w:rPr>
      </w:pPr>
    </w:p>
    <w:p w14:paraId="1A86E23C">
      <w:pPr>
        <w:rPr>
          <w:rFonts w:hint="eastAsia" w:ascii="宋体" w:hAnsi="宋体" w:eastAsia="宋体" w:cs="宋体"/>
          <w:color w:val="auto"/>
          <w:highlight w:val="none"/>
          <w:lang w:eastAsia="zh-CN"/>
        </w:rPr>
      </w:pPr>
    </w:p>
    <w:p w14:paraId="3715CAA8">
      <w:pPr>
        <w:pStyle w:val="7"/>
        <w:rPr>
          <w:rFonts w:hint="eastAsia" w:ascii="宋体" w:hAnsi="宋体" w:eastAsia="宋体" w:cs="宋体"/>
          <w:color w:val="auto"/>
          <w:highlight w:val="none"/>
          <w:lang w:eastAsia="zh-CN"/>
        </w:rPr>
      </w:pPr>
    </w:p>
    <w:p w14:paraId="432689C5">
      <w:pPr>
        <w:rPr>
          <w:rFonts w:hint="eastAsia" w:ascii="宋体" w:hAnsi="宋体" w:eastAsia="宋体" w:cs="宋体"/>
          <w:color w:val="auto"/>
          <w:highlight w:val="none"/>
          <w:lang w:eastAsia="zh-CN"/>
        </w:rPr>
      </w:pPr>
    </w:p>
    <w:p w14:paraId="70D7B889">
      <w:pPr>
        <w:pStyle w:val="7"/>
        <w:rPr>
          <w:rFonts w:hint="eastAsia" w:ascii="宋体" w:hAnsi="宋体" w:eastAsia="宋体" w:cs="宋体"/>
          <w:color w:val="auto"/>
          <w:highlight w:val="none"/>
          <w:lang w:eastAsia="zh-CN"/>
        </w:rPr>
      </w:pPr>
    </w:p>
    <w:p w14:paraId="13773D3D">
      <w:pPr>
        <w:rPr>
          <w:rFonts w:hint="eastAsia" w:ascii="宋体" w:hAnsi="宋体" w:eastAsia="宋体" w:cs="宋体"/>
          <w:color w:val="auto"/>
          <w:highlight w:val="none"/>
          <w:lang w:eastAsia="zh-CN"/>
        </w:rPr>
      </w:pPr>
    </w:p>
    <w:p w14:paraId="023ABCF8">
      <w:pPr>
        <w:pStyle w:val="7"/>
        <w:rPr>
          <w:rFonts w:hint="eastAsia" w:ascii="宋体" w:hAnsi="宋体" w:eastAsia="宋体" w:cs="宋体"/>
          <w:color w:val="auto"/>
          <w:highlight w:val="none"/>
          <w:lang w:eastAsia="zh-CN"/>
        </w:rPr>
      </w:pPr>
    </w:p>
    <w:p w14:paraId="44D51218">
      <w:pPr>
        <w:rPr>
          <w:rFonts w:hint="eastAsia" w:ascii="宋体" w:hAnsi="宋体" w:eastAsia="宋体" w:cs="宋体"/>
          <w:color w:val="auto"/>
          <w:highlight w:val="none"/>
          <w:lang w:val="en-US" w:eastAsia="zh-CN"/>
        </w:rPr>
      </w:pPr>
    </w:p>
    <w:p w14:paraId="365CBDA2">
      <w:pPr>
        <w:pStyle w:val="29"/>
        <w:spacing w:line="443" w:lineRule="exact"/>
        <w:ind w:left="3" w:right="1" w:firstLine="0"/>
        <w:jc w:val="center"/>
        <w:outlineLvl w:val="3"/>
        <w:rPr>
          <w:rFonts w:hint="eastAsia" w:ascii="宋体" w:hAnsi="宋体" w:eastAsia="宋体" w:cs="宋体"/>
          <w:color w:val="auto"/>
          <w:highlight w:val="none"/>
          <w:lang w:val="en-US" w:eastAsia="zh-CN"/>
        </w:rPr>
      </w:pPr>
      <w:r>
        <w:rPr>
          <w:rFonts w:hint="eastAsia" w:ascii="宋体" w:hAnsi="宋体" w:eastAsia="宋体" w:cs="宋体"/>
          <w:b/>
          <w:bCs/>
          <w:color w:val="auto"/>
          <w:sz w:val="32"/>
          <w:szCs w:val="32"/>
          <w:highlight w:val="none"/>
          <w:lang w:val="en-US" w:eastAsia="zh-CN" w:bidi="ar-SA"/>
        </w:rPr>
        <w:t>（三）售后服务方案</w:t>
      </w:r>
    </w:p>
    <w:p w14:paraId="3A2F25A7">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（格式内容自拟）</w:t>
      </w:r>
    </w:p>
    <w:p w14:paraId="569111E9">
      <w:pPr>
        <w:jc w:val="center"/>
        <w:rPr>
          <w:rFonts w:hint="eastAsia" w:ascii="宋体" w:hAnsi="宋体" w:eastAsia="宋体" w:cs="宋体"/>
          <w:color w:val="auto"/>
          <w:highlight w:val="none"/>
          <w:lang w:eastAsia="zh-CN"/>
        </w:rPr>
      </w:pPr>
    </w:p>
    <w:p w14:paraId="4C9F0CDD">
      <w:pPr>
        <w:jc w:val="center"/>
        <w:rPr>
          <w:rFonts w:hint="eastAsia" w:ascii="宋体" w:hAnsi="宋体" w:eastAsia="宋体" w:cs="宋体"/>
          <w:color w:val="auto"/>
          <w:highlight w:val="none"/>
          <w:lang w:eastAsia="zh-CN"/>
        </w:rPr>
      </w:pPr>
    </w:p>
    <w:p w14:paraId="586E8AE0">
      <w:pPr>
        <w:jc w:val="center"/>
        <w:rPr>
          <w:rFonts w:hint="eastAsia" w:ascii="宋体" w:hAnsi="宋体" w:eastAsia="宋体" w:cs="宋体"/>
          <w:color w:val="auto"/>
          <w:highlight w:val="none"/>
          <w:lang w:eastAsia="zh-CN"/>
        </w:rPr>
      </w:pPr>
    </w:p>
    <w:p w14:paraId="769248D9">
      <w:pPr>
        <w:jc w:val="center"/>
        <w:rPr>
          <w:rFonts w:hint="eastAsia" w:ascii="宋体" w:hAnsi="宋体" w:eastAsia="宋体" w:cs="宋体"/>
          <w:color w:val="auto"/>
          <w:highlight w:val="none"/>
          <w:lang w:eastAsia="zh-CN"/>
        </w:rPr>
      </w:pPr>
    </w:p>
    <w:p w14:paraId="7D2CD2AD">
      <w:pPr>
        <w:jc w:val="center"/>
        <w:rPr>
          <w:rFonts w:hint="eastAsia" w:ascii="宋体" w:hAnsi="宋体" w:eastAsia="宋体" w:cs="宋体"/>
          <w:color w:val="auto"/>
          <w:highlight w:val="none"/>
          <w:lang w:eastAsia="zh-CN"/>
        </w:rPr>
      </w:pPr>
    </w:p>
    <w:p w14:paraId="49FF049F">
      <w:pPr>
        <w:jc w:val="center"/>
        <w:rPr>
          <w:rFonts w:hint="eastAsia" w:ascii="宋体" w:hAnsi="宋体" w:eastAsia="宋体" w:cs="宋体"/>
          <w:color w:val="auto"/>
          <w:highlight w:val="none"/>
          <w:lang w:eastAsia="zh-CN"/>
        </w:rPr>
      </w:pPr>
    </w:p>
    <w:p w14:paraId="0A8F6CDD">
      <w:pPr>
        <w:jc w:val="center"/>
        <w:rPr>
          <w:rFonts w:hint="eastAsia" w:ascii="宋体" w:hAnsi="宋体" w:eastAsia="宋体" w:cs="宋体"/>
          <w:color w:val="auto"/>
          <w:highlight w:val="none"/>
          <w:lang w:eastAsia="zh-CN"/>
        </w:rPr>
      </w:pPr>
    </w:p>
    <w:p w14:paraId="1CFCF39E">
      <w:pPr>
        <w:jc w:val="center"/>
        <w:rPr>
          <w:rFonts w:hint="eastAsia" w:ascii="宋体" w:hAnsi="宋体" w:eastAsia="宋体" w:cs="宋体"/>
          <w:color w:val="auto"/>
          <w:highlight w:val="none"/>
          <w:lang w:eastAsia="zh-CN"/>
        </w:rPr>
      </w:pPr>
    </w:p>
    <w:p w14:paraId="4DE0DC28">
      <w:pPr>
        <w:jc w:val="center"/>
        <w:rPr>
          <w:rFonts w:hint="eastAsia" w:ascii="宋体" w:hAnsi="宋体" w:eastAsia="宋体" w:cs="宋体"/>
          <w:color w:val="auto"/>
          <w:highlight w:val="none"/>
          <w:lang w:eastAsia="zh-CN"/>
        </w:rPr>
      </w:pPr>
    </w:p>
    <w:p w14:paraId="7D72326A">
      <w:pPr>
        <w:jc w:val="center"/>
        <w:rPr>
          <w:rFonts w:hint="eastAsia" w:ascii="宋体" w:hAnsi="宋体" w:eastAsia="宋体" w:cs="宋体"/>
          <w:color w:val="auto"/>
          <w:highlight w:val="none"/>
          <w:lang w:eastAsia="zh-CN"/>
        </w:rPr>
      </w:pPr>
    </w:p>
    <w:p w14:paraId="084BA35A">
      <w:pPr>
        <w:jc w:val="center"/>
        <w:rPr>
          <w:rFonts w:hint="eastAsia" w:ascii="宋体" w:hAnsi="宋体" w:eastAsia="宋体" w:cs="宋体"/>
          <w:color w:val="auto"/>
          <w:highlight w:val="none"/>
          <w:lang w:eastAsia="zh-CN"/>
        </w:rPr>
      </w:pPr>
    </w:p>
    <w:p w14:paraId="013CF876">
      <w:pPr>
        <w:jc w:val="center"/>
        <w:rPr>
          <w:rFonts w:hint="eastAsia" w:ascii="宋体" w:hAnsi="宋体" w:eastAsia="宋体" w:cs="宋体"/>
          <w:color w:val="auto"/>
          <w:highlight w:val="none"/>
          <w:lang w:eastAsia="zh-CN"/>
        </w:rPr>
      </w:pPr>
    </w:p>
    <w:p w14:paraId="4AB52934">
      <w:pPr>
        <w:jc w:val="center"/>
        <w:rPr>
          <w:rFonts w:hint="eastAsia" w:ascii="宋体" w:hAnsi="宋体" w:eastAsia="宋体" w:cs="宋体"/>
          <w:color w:val="auto"/>
          <w:highlight w:val="none"/>
          <w:lang w:eastAsia="zh-CN"/>
        </w:rPr>
      </w:pPr>
    </w:p>
    <w:p w14:paraId="623744E3">
      <w:pPr>
        <w:jc w:val="center"/>
        <w:rPr>
          <w:rFonts w:hint="eastAsia" w:ascii="宋体" w:hAnsi="宋体" w:eastAsia="宋体" w:cs="宋体"/>
          <w:color w:val="auto"/>
          <w:highlight w:val="none"/>
          <w:lang w:eastAsia="zh-CN"/>
        </w:rPr>
      </w:pPr>
    </w:p>
    <w:p w14:paraId="508A014D">
      <w:pPr>
        <w:jc w:val="center"/>
        <w:rPr>
          <w:rFonts w:hint="eastAsia" w:ascii="宋体" w:hAnsi="宋体" w:eastAsia="宋体" w:cs="宋体"/>
          <w:color w:val="auto"/>
          <w:highlight w:val="none"/>
          <w:lang w:eastAsia="zh-CN"/>
        </w:rPr>
      </w:pPr>
    </w:p>
    <w:p w14:paraId="2F3B7BD4">
      <w:pPr>
        <w:jc w:val="center"/>
        <w:rPr>
          <w:rFonts w:hint="eastAsia" w:ascii="宋体" w:hAnsi="宋体" w:eastAsia="宋体" w:cs="宋体"/>
          <w:color w:val="auto"/>
          <w:highlight w:val="none"/>
          <w:lang w:eastAsia="zh-CN"/>
        </w:rPr>
      </w:pPr>
    </w:p>
    <w:p w14:paraId="0E3E6378">
      <w:pPr>
        <w:jc w:val="center"/>
        <w:rPr>
          <w:rFonts w:hint="eastAsia" w:ascii="宋体" w:hAnsi="宋体" w:eastAsia="宋体" w:cs="宋体"/>
          <w:color w:val="auto"/>
          <w:highlight w:val="none"/>
          <w:lang w:eastAsia="zh-CN"/>
        </w:rPr>
      </w:pPr>
    </w:p>
    <w:p w14:paraId="0D5375EE">
      <w:pPr>
        <w:jc w:val="center"/>
        <w:rPr>
          <w:rFonts w:hint="eastAsia" w:ascii="宋体" w:hAnsi="宋体" w:eastAsia="宋体" w:cs="宋体"/>
          <w:color w:val="auto"/>
          <w:highlight w:val="none"/>
          <w:lang w:eastAsia="zh-CN"/>
        </w:rPr>
      </w:pPr>
    </w:p>
    <w:p w14:paraId="73FCF99F">
      <w:pPr>
        <w:jc w:val="center"/>
        <w:rPr>
          <w:rFonts w:hint="eastAsia" w:ascii="宋体" w:hAnsi="宋体" w:eastAsia="宋体" w:cs="宋体"/>
          <w:color w:val="auto"/>
          <w:highlight w:val="none"/>
          <w:lang w:eastAsia="zh-CN"/>
        </w:rPr>
      </w:pPr>
    </w:p>
    <w:p w14:paraId="5B9CBDBB">
      <w:pPr>
        <w:jc w:val="center"/>
        <w:rPr>
          <w:rFonts w:hint="eastAsia" w:ascii="宋体" w:hAnsi="宋体" w:eastAsia="宋体" w:cs="宋体"/>
          <w:color w:val="auto"/>
          <w:highlight w:val="none"/>
          <w:lang w:eastAsia="zh-CN"/>
        </w:rPr>
      </w:pPr>
    </w:p>
    <w:p w14:paraId="025CFF7C">
      <w:pPr>
        <w:jc w:val="center"/>
        <w:rPr>
          <w:rFonts w:hint="eastAsia" w:ascii="宋体" w:hAnsi="宋体" w:eastAsia="宋体" w:cs="宋体"/>
          <w:color w:val="auto"/>
          <w:highlight w:val="none"/>
          <w:lang w:eastAsia="zh-CN"/>
        </w:rPr>
      </w:pPr>
    </w:p>
    <w:p w14:paraId="438EEEE8">
      <w:pPr>
        <w:pStyle w:val="2"/>
        <w:rPr>
          <w:rFonts w:hint="eastAsia" w:ascii="宋体" w:hAnsi="宋体" w:eastAsia="宋体" w:cs="宋体"/>
          <w:color w:val="auto"/>
          <w:highlight w:val="none"/>
          <w:lang w:eastAsia="zh-CN"/>
        </w:rPr>
      </w:pPr>
    </w:p>
    <w:p w14:paraId="3CD616EF">
      <w:pPr>
        <w:pStyle w:val="2"/>
        <w:rPr>
          <w:rFonts w:hint="eastAsia" w:ascii="宋体" w:hAnsi="宋体" w:eastAsia="宋体" w:cs="宋体"/>
          <w:color w:val="auto"/>
          <w:highlight w:val="none"/>
          <w:lang w:eastAsia="zh-CN"/>
        </w:rPr>
      </w:pPr>
    </w:p>
    <w:p w14:paraId="46136DAD">
      <w:pPr>
        <w:pStyle w:val="2"/>
        <w:rPr>
          <w:rFonts w:hint="eastAsia" w:ascii="宋体" w:hAnsi="宋体" w:eastAsia="宋体" w:cs="宋体"/>
          <w:color w:val="auto"/>
          <w:highlight w:val="none"/>
          <w:lang w:eastAsia="zh-CN"/>
        </w:rPr>
      </w:pPr>
    </w:p>
    <w:p w14:paraId="01C888E4">
      <w:pPr>
        <w:pStyle w:val="2"/>
        <w:rPr>
          <w:rFonts w:hint="eastAsia" w:ascii="宋体" w:hAnsi="宋体" w:eastAsia="宋体" w:cs="宋体"/>
          <w:color w:val="auto"/>
          <w:highlight w:val="none"/>
          <w:lang w:eastAsia="zh-CN"/>
        </w:rPr>
      </w:pPr>
    </w:p>
    <w:p w14:paraId="6CE973A0">
      <w:pPr>
        <w:pStyle w:val="2"/>
        <w:rPr>
          <w:rFonts w:hint="eastAsia" w:ascii="宋体" w:hAnsi="宋体" w:eastAsia="宋体" w:cs="宋体"/>
          <w:color w:val="auto"/>
          <w:highlight w:val="none"/>
          <w:lang w:eastAsia="zh-CN"/>
        </w:rPr>
      </w:pPr>
    </w:p>
    <w:p w14:paraId="1E780383">
      <w:pPr>
        <w:pStyle w:val="2"/>
        <w:rPr>
          <w:rFonts w:hint="eastAsia" w:ascii="宋体" w:hAnsi="宋体" w:eastAsia="宋体" w:cs="宋体"/>
          <w:color w:val="auto"/>
          <w:highlight w:val="none"/>
          <w:lang w:eastAsia="zh-CN"/>
        </w:rPr>
      </w:pPr>
    </w:p>
    <w:p w14:paraId="3DFB61D1">
      <w:pPr>
        <w:pStyle w:val="2"/>
        <w:rPr>
          <w:rFonts w:hint="eastAsia" w:ascii="宋体" w:hAnsi="宋体" w:eastAsia="宋体" w:cs="宋体"/>
          <w:color w:val="auto"/>
          <w:highlight w:val="none"/>
          <w:lang w:eastAsia="zh-CN"/>
        </w:rPr>
      </w:pPr>
    </w:p>
    <w:p w14:paraId="650F47AB">
      <w:pPr>
        <w:pStyle w:val="2"/>
        <w:rPr>
          <w:rFonts w:hint="eastAsia" w:ascii="宋体" w:hAnsi="宋体" w:eastAsia="宋体" w:cs="宋体"/>
          <w:color w:val="auto"/>
          <w:highlight w:val="none"/>
          <w:lang w:eastAsia="zh-CN"/>
        </w:rPr>
      </w:pPr>
    </w:p>
    <w:p w14:paraId="2A8E10BE">
      <w:pPr>
        <w:pStyle w:val="2"/>
        <w:rPr>
          <w:rFonts w:hint="eastAsia" w:ascii="宋体" w:hAnsi="宋体" w:eastAsia="宋体" w:cs="宋体"/>
          <w:color w:val="auto"/>
          <w:highlight w:val="none"/>
          <w:lang w:eastAsia="zh-CN"/>
        </w:rPr>
      </w:pPr>
    </w:p>
    <w:p w14:paraId="05935B37">
      <w:pPr>
        <w:pStyle w:val="2"/>
        <w:rPr>
          <w:rFonts w:hint="eastAsia" w:ascii="宋体" w:hAnsi="宋体" w:eastAsia="宋体" w:cs="宋体"/>
          <w:color w:val="auto"/>
          <w:highlight w:val="none"/>
          <w:lang w:eastAsia="zh-CN"/>
        </w:rPr>
      </w:pPr>
    </w:p>
    <w:p w14:paraId="7DDA67D7">
      <w:pPr>
        <w:jc w:val="both"/>
        <w:rPr>
          <w:rFonts w:hint="eastAsia" w:ascii="宋体" w:hAnsi="宋体" w:eastAsia="宋体" w:cs="宋体"/>
          <w:color w:val="auto"/>
          <w:highlight w:val="none"/>
          <w:lang w:eastAsia="zh-CN"/>
        </w:rPr>
      </w:pPr>
    </w:p>
    <w:p w14:paraId="6401306A">
      <w:pPr>
        <w:jc w:val="center"/>
        <w:outlineLvl w:val="3"/>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en-US" w:eastAsia="zh-CN"/>
        </w:rPr>
        <w:t>（四）类似项目业</w:t>
      </w:r>
      <w:r>
        <w:rPr>
          <w:rFonts w:hint="eastAsia" w:ascii="宋体" w:hAnsi="宋体" w:eastAsia="宋体" w:cs="宋体"/>
          <w:b/>
          <w:bCs/>
          <w:color w:val="auto"/>
          <w:sz w:val="32"/>
          <w:szCs w:val="40"/>
          <w:highlight w:val="none"/>
        </w:rPr>
        <w:t>绩</w:t>
      </w:r>
    </w:p>
    <w:tbl>
      <w:tblPr>
        <w:tblStyle w:val="16"/>
        <w:tblW w:w="90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2494"/>
        <w:gridCol w:w="1467"/>
        <w:gridCol w:w="1467"/>
        <w:gridCol w:w="1822"/>
        <w:gridCol w:w="846"/>
      </w:tblGrid>
      <w:tr w14:paraId="400394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58FB323D">
            <w:pPr>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2494" w:type="dxa"/>
            <w:vAlign w:val="center"/>
          </w:tcPr>
          <w:p w14:paraId="23FDE29D">
            <w:pPr>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1467" w:type="dxa"/>
            <w:vAlign w:val="center"/>
          </w:tcPr>
          <w:p w14:paraId="15D72CB5">
            <w:pPr>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业主单位</w:t>
            </w:r>
          </w:p>
        </w:tc>
        <w:tc>
          <w:tcPr>
            <w:tcW w:w="1467" w:type="dxa"/>
            <w:vAlign w:val="center"/>
          </w:tcPr>
          <w:p w14:paraId="17DCA02F">
            <w:pPr>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合同金额</w:t>
            </w:r>
          </w:p>
        </w:tc>
        <w:tc>
          <w:tcPr>
            <w:tcW w:w="1822" w:type="dxa"/>
            <w:vAlign w:val="center"/>
          </w:tcPr>
          <w:p w14:paraId="259E091E">
            <w:pPr>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合同签订时间</w:t>
            </w:r>
          </w:p>
        </w:tc>
        <w:tc>
          <w:tcPr>
            <w:tcW w:w="846" w:type="dxa"/>
            <w:vAlign w:val="center"/>
          </w:tcPr>
          <w:p w14:paraId="7CF51EF5">
            <w:pPr>
              <w:snapToGrid w:val="0"/>
              <w:spacing w:line="276"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14:paraId="70D38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266B70C4">
            <w:pPr>
              <w:snapToGrid w:val="0"/>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494" w:type="dxa"/>
            <w:vAlign w:val="center"/>
          </w:tcPr>
          <w:p w14:paraId="0F3A5193">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608D5E3C">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21FCD29E">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68E97B8C">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64AD666D">
            <w:pPr>
              <w:snapToGrid w:val="0"/>
              <w:spacing w:line="276" w:lineRule="auto"/>
              <w:jc w:val="center"/>
              <w:rPr>
                <w:rFonts w:hint="eastAsia" w:ascii="宋体" w:hAnsi="宋体" w:eastAsia="宋体" w:cs="宋体"/>
                <w:color w:val="auto"/>
                <w:highlight w:val="none"/>
                <w:u w:val="single"/>
              </w:rPr>
            </w:pPr>
          </w:p>
        </w:tc>
      </w:tr>
      <w:tr w14:paraId="0E8F3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733DA84F">
            <w:pPr>
              <w:snapToGrid w:val="0"/>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494" w:type="dxa"/>
            <w:vAlign w:val="center"/>
          </w:tcPr>
          <w:p w14:paraId="12FD8384">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1605ACFB">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49F96D23">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5B76B581">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677DCCFB">
            <w:pPr>
              <w:snapToGrid w:val="0"/>
              <w:spacing w:line="276" w:lineRule="auto"/>
              <w:jc w:val="center"/>
              <w:rPr>
                <w:rFonts w:hint="eastAsia" w:ascii="宋体" w:hAnsi="宋体" w:eastAsia="宋体" w:cs="宋体"/>
                <w:color w:val="auto"/>
                <w:highlight w:val="none"/>
                <w:u w:val="single"/>
              </w:rPr>
            </w:pPr>
          </w:p>
        </w:tc>
      </w:tr>
      <w:tr w14:paraId="5BAF4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5C3A9015">
            <w:pPr>
              <w:snapToGrid w:val="0"/>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494" w:type="dxa"/>
            <w:vAlign w:val="center"/>
          </w:tcPr>
          <w:p w14:paraId="1BDD8C80">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40631E7F">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4C8EF683">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4FD38E3E">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421B81A4">
            <w:pPr>
              <w:snapToGrid w:val="0"/>
              <w:spacing w:line="276" w:lineRule="auto"/>
              <w:jc w:val="center"/>
              <w:rPr>
                <w:rFonts w:hint="eastAsia" w:ascii="宋体" w:hAnsi="宋体" w:eastAsia="宋体" w:cs="宋体"/>
                <w:color w:val="auto"/>
                <w:highlight w:val="none"/>
                <w:u w:val="single"/>
              </w:rPr>
            </w:pPr>
          </w:p>
        </w:tc>
      </w:tr>
      <w:tr w14:paraId="462CC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25917B64">
            <w:pPr>
              <w:snapToGrid w:val="0"/>
              <w:spacing w:line="276"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494" w:type="dxa"/>
            <w:vAlign w:val="center"/>
          </w:tcPr>
          <w:p w14:paraId="7658969D">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673B46B5">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65C6ECA6">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70611147">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57B3B4A2">
            <w:pPr>
              <w:snapToGrid w:val="0"/>
              <w:spacing w:line="276" w:lineRule="auto"/>
              <w:jc w:val="center"/>
              <w:rPr>
                <w:rFonts w:hint="eastAsia" w:ascii="宋体" w:hAnsi="宋体" w:eastAsia="宋体" w:cs="宋体"/>
                <w:color w:val="auto"/>
                <w:highlight w:val="none"/>
                <w:u w:val="single"/>
              </w:rPr>
            </w:pPr>
          </w:p>
        </w:tc>
      </w:tr>
      <w:tr w14:paraId="64B624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5DF37499">
            <w:pPr>
              <w:snapToGrid w:val="0"/>
              <w:spacing w:line="276" w:lineRule="auto"/>
              <w:jc w:val="center"/>
              <w:rPr>
                <w:rFonts w:hint="eastAsia" w:ascii="宋体" w:hAnsi="宋体" w:eastAsia="宋体" w:cs="宋体"/>
                <w:color w:val="auto"/>
                <w:highlight w:val="none"/>
              </w:rPr>
            </w:pPr>
          </w:p>
        </w:tc>
        <w:tc>
          <w:tcPr>
            <w:tcW w:w="2494" w:type="dxa"/>
            <w:vAlign w:val="center"/>
          </w:tcPr>
          <w:p w14:paraId="7F05F8E0">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3DDAA0A5">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3CE94B23">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4DBD3224">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578282B3">
            <w:pPr>
              <w:snapToGrid w:val="0"/>
              <w:spacing w:line="276" w:lineRule="auto"/>
              <w:jc w:val="center"/>
              <w:rPr>
                <w:rFonts w:hint="eastAsia" w:ascii="宋体" w:hAnsi="宋体" w:eastAsia="宋体" w:cs="宋体"/>
                <w:color w:val="auto"/>
                <w:highlight w:val="none"/>
                <w:u w:val="single"/>
              </w:rPr>
            </w:pPr>
          </w:p>
        </w:tc>
      </w:tr>
      <w:tr w14:paraId="7566A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43C5D071">
            <w:pPr>
              <w:snapToGrid w:val="0"/>
              <w:spacing w:line="276" w:lineRule="auto"/>
              <w:jc w:val="center"/>
              <w:rPr>
                <w:rFonts w:hint="eastAsia" w:ascii="宋体" w:hAnsi="宋体" w:eastAsia="宋体" w:cs="宋体"/>
                <w:color w:val="auto"/>
                <w:highlight w:val="none"/>
              </w:rPr>
            </w:pPr>
          </w:p>
        </w:tc>
        <w:tc>
          <w:tcPr>
            <w:tcW w:w="2494" w:type="dxa"/>
            <w:vAlign w:val="center"/>
          </w:tcPr>
          <w:p w14:paraId="3C3A4A5A">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53F9C2D8">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036652A5">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5B137FDD">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792702D5">
            <w:pPr>
              <w:snapToGrid w:val="0"/>
              <w:spacing w:line="276" w:lineRule="auto"/>
              <w:jc w:val="center"/>
              <w:rPr>
                <w:rFonts w:hint="eastAsia" w:ascii="宋体" w:hAnsi="宋体" w:eastAsia="宋体" w:cs="宋体"/>
                <w:color w:val="auto"/>
                <w:highlight w:val="none"/>
                <w:u w:val="single"/>
              </w:rPr>
            </w:pPr>
          </w:p>
        </w:tc>
      </w:tr>
      <w:tr w14:paraId="4D50A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6164A829">
            <w:pPr>
              <w:snapToGrid w:val="0"/>
              <w:spacing w:line="276" w:lineRule="auto"/>
              <w:jc w:val="center"/>
              <w:rPr>
                <w:rFonts w:hint="eastAsia" w:ascii="宋体" w:hAnsi="宋体" w:eastAsia="宋体" w:cs="宋体"/>
                <w:color w:val="auto"/>
                <w:highlight w:val="none"/>
              </w:rPr>
            </w:pPr>
          </w:p>
        </w:tc>
        <w:tc>
          <w:tcPr>
            <w:tcW w:w="2494" w:type="dxa"/>
            <w:vAlign w:val="center"/>
          </w:tcPr>
          <w:p w14:paraId="76C3C646">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66F27128">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638B6706">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6ECF9E2D">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2F76C23D">
            <w:pPr>
              <w:snapToGrid w:val="0"/>
              <w:spacing w:line="276" w:lineRule="auto"/>
              <w:jc w:val="center"/>
              <w:rPr>
                <w:rFonts w:hint="eastAsia" w:ascii="宋体" w:hAnsi="宋体" w:eastAsia="宋体" w:cs="宋体"/>
                <w:color w:val="auto"/>
                <w:highlight w:val="none"/>
                <w:u w:val="single"/>
              </w:rPr>
            </w:pPr>
          </w:p>
        </w:tc>
      </w:tr>
      <w:tr w14:paraId="675F2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0AD8B5B3">
            <w:pPr>
              <w:snapToGrid w:val="0"/>
              <w:spacing w:line="276" w:lineRule="auto"/>
              <w:jc w:val="center"/>
              <w:rPr>
                <w:rFonts w:hint="eastAsia" w:ascii="宋体" w:hAnsi="宋体" w:eastAsia="宋体" w:cs="宋体"/>
                <w:color w:val="auto"/>
                <w:highlight w:val="none"/>
              </w:rPr>
            </w:pPr>
          </w:p>
        </w:tc>
        <w:tc>
          <w:tcPr>
            <w:tcW w:w="2494" w:type="dxa"/>
            <w:vAlign w:val="center"/>
          </w:tcPr>
          <w:p w14:paraId="6EDEC18D">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7B360708">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122350BA">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1114FB9A">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12F25468">
            <w:pPr>
              <w:snapToGrid w:val="0"/>
              <w:spacing w:line="276" w:lineRule="auto"/>
              <w:jc w:val="center"/>
              <w:rPr>
                <w:rFonts w:hint="eastAsia" w:ascii="宋体" w:hAnsi="宋体" w:eastAsia="宋体" w:cs="宋体"/>
                <w:color w:val="auto"/>
                <w:highlight w:val="none"/>
                <w:u w:val="single"/>
              </w:rPr>
            </w:pPr>
          </w:p>
        </w:tc>
      </w:tr>
      <w:tr w14:paraId="34956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6778BB15">
            <w:pPr>
              <w:snapToGrid w:val="0"/>
              <w:spacing w:line="276" w:lineRule="auto"/>
              <w:jc w:val="center"/>
              <w:rPr>
                <w:rFonts w:hint="eastAsia" w:ascii="宋体" w:hAnsi="宋体" w:eastAsia="宋体" w:cs="宋体"/>
                <w:color w:val="auto"/>
                <w:highlight w:val="none"/>
              </w:rPr>
            </w:pPr>
          </w:p>
        </w:tc>
        <w:tc>
          <w:tcPr>
            <w:tcW w:w="2494" w:type="dxa"/>
            <w:vAlign w:val="center"/>
          </w:tcPr>
          <w:p w14:paraId="4810152B">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782031A3">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48AD2C24">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2FE24C67">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7861174C">
            <w:pPr>
              <w:snapToGrid w:val="0"/>
              <w:spacing w:line="276" w:lineRule="auto"/>
              <w:jc w:val="center"/>
              <w:rPr>
                <w:rFonts w:hint="eastAsia" w:ascii="宋体" w:hAnsi="宋体" w:eastAsia="宋体" w:cs="宋体"/>
                <w:color w:val="auto"/>
                <w:highlight w:val="none"/>
                <w:u w:val="single"/>
              </w:rPr>
            </w:pPr>
          </w:p>
        </w:tc>
      </w:tr>
      <w:tr w14:paraId="34816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0" w:type="dxa"/>
            <w:vAlign w:val="center"/>
          </w:tcPr>
          <w:p w14:paraId="3B6648C9">
            <w:pPr>
              <w:snapToGrid w:val="0"/>
              <w:spacing w:line="276" w:lineRule="auto"/>
              <w:jc w:val="center"/>
              <w:rPr>
                <w:rFonts w:hint="eastAsia" w:ascii="宋体" w:hAnsi="宋体" w:eastAsia="宋体" w:cs="宋体"/>
                <w:color w:val="auto"/>
                <w:highlight w:val="none"/>
              </w:rPr>
            </w:pPr>
          </w:p>
        </w:tc>
        <w:tc>
          <w:tcPr>
            <w:tcW w:w="2494" w:type="dxa"/>
            <w:vAlign w:val="center"/>
          </w:tcPr>
          <w:p w14:paraId="36B70814">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35CF7976">
            <w:pPr>
              <w:snapToGrid w:val="0"/>
              <w:spacing w:line="276" w:lineRule="auto"/>
              <w:jc w:val="center"/>
              <w:rPr>
                <w:rFonts w:hint="eastAsia" w:ascii="宋体" w:hAnsi="宋体" w:eastAsia="宋体" w:cs="宋体"/>
                <w:color w:val="auto"/>
                <w:highlight w:val="none"/>
                <w:u w:val="single"/>
              </w:rPr>
            </w:pPr>
          </w:p>
        </w:tc>
        <w:tc>
          <w:tcPr>
            <w:tcW w:w="1467" w:type="dxa"/>
            <w:vAlign w:val="center"/>
          </w:tcPr>
          <w:p w14:paraId="30809B26">
            <w:pPr>
              <w:snapToGrid w:val="0"/>
              <w:spacing w:line="276" w:lineRule="auto"/>
              <w:jc w:val="center"/>
              <w:rPr>
                <w:rFonts w:hint="eastAsia" w:ascii="宋体" w:hAnsi="宋体" w:eastAsia="宋体" w:cs="宋体"/>
                <w:color w:val="auto"/>
                <w:highlight w:val="none"/>
                <w:u w:val="single"/>
              </w:rPr>
            </w:pPr>
          </w:p>
        </w:tc>
        <w:tc>
          <w:tcPr>
            <w:tcW w:w="1822" w:type="dxa"/>
            <w:vAlign w:val="center"/>
          </w:tcPr>
          <w:p w14:paraId="3E513010">
            <w:pPr>
              <w:snapToGrid w:val="0"/>
              <w:spacing w:line="276" w:lineRule="auto"/>
              <w:jc w:val="center"/>
              <w:rPr>
                <w:rFonts w:hint="eastAsia" w:ascii="宋体" w:hAnsi="宋体" w:eastAsia="宋体" w:cs="宋体"/>
                <w:color w:val="auto"/>
                <w:highlight w:val="none"/>
                <w:u w:val="single"/>
              </w:rPr>
            </w:pPr>
          </w:p>
        </w:tc>
        <w:tc>
          <w:tcPr>
            <w:tcW w:w="846" w:type="dxa"/>
            <w:vAlign w:val="center"/>
          </w:tcPr>
          <w:p w14:paraId="3FB9C0C0">
            <w:pPr>
              <w:snapToGrid w:val="0"/>
              <w:spacing w:line="276" w:lineRule="auto"/>
              <w:jc w:val="center"/>
              <w:rPr>
                <w:rFonts w:hint="eastAsia" w:ascii="宋体" w:hAnsi="宋体" w:eastAsia="宋体" w:cs="宋体"/>
                <w:color w:val="auto"/>
                <w:highlight w:val="none"/>
                <w:u w:val="single"/>
              </w:rPr>
            </w:pPr>
          </w:p>
        </w:tc>
      </w:tr>
    </w:tbl>
    <w:p w14:paraId="181ECBC3">
      <w:pPr>
        <w:numPr>
          <w:ilvl w:val="0"/>
          <w:numId w:val="0"/>
        </w:numPr>
        <w:bidi w:val="0"/>
        <w:jc w:val="left"/>
        <w:outlineLvl w:val="9"/>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注：投标文件中须提供类似项目的供货合同或中标/成交通知书扫描件。无证明材料或证明材料不明确、不齐全、不一致、无法体现业绩内容的不得分，如业绩合同不能反应项目内容，须另附业主证明等相关证明材料。</w:t>
      </w:r>
    </w:p>
    <w:p w14:paraId="11E751DE">
      <w:pPr>
        <w:widowControl/>
        <w:autoSpaceDE/>
        <w:autoSpaceDN/>
        <w:spacing w:line="480" w:lineRule="auto"/>
        <w:ind w:firstLine="1680" w:firstLineChars="800"/>
        <w:rPr>
          <w:rFonts w:hint="eastAsia" w:ascii="宋体" w:hAnsi="宋体" w:eastAsia="宋体" w:cs="宋体"/>
          <w:color w:val="auto"/>
          <w:sz w:val="21"/>
          <w:szCs w:val="21"/>
          <w:highlight w:val="none"/>
          <w:lang w:eastAsia="zh-CN"/>
        </w:rPr>
      </w:pPr>
    </w:p>
    <w:p w14:paraId="2F133AC8">
      <w:pPr>
        <w:widowControl/>
        <w:autoSpaceDE/>
        <w:autoSpaceDN/>
        <w:spacing w:line="480" w:lineRule="auto"/>
        <w:ind w:firstLine="840" w:firstLineChars="4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投标人名称：</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（盖章）</w:t>
      </w:r>
    </w:p>
    <w:p w14:paraId="2ADD7CBE">
      <w:pPr>
        <w:pStyle w:val="29"/>
        <w:spacing w:line="480" w:lineRule="auto"/>
        <w:ind w:left="0" w:right="-71" w:firstLine="0"/>
        <w:jc w:val="center"/>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法定代表人或其委托代理人：</w:t>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u w:val="single"/>
          <w:lang w:val="en-US" w:eastAsia="zh-CN"/>
        </w:rPr>
        <w:t xml:space="preserve">  </w:t>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（签字或盖章）</w:t>
      </w:r>
    </w:p>
    <w:p w14:paraId="4F507AE9">
      <w:pPr>
        <w:pStyle w:val="7"/>
        <w:spacing w:line="480" w:lineRule="auto"/>
        <w:ind w:firstLine="2100" w:firstLineChars="1000"/>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年</w:t>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月</w:t>
      </w:r>
      <w:r>
        <w:rPr>
          <w:rFonts w:hint="eastAsia" w:ascii="宋体" w:hAnsi="宋体" w:eastAsia="宋体" w:cs="宋体"/>
          <w:b w:val="0"/>
          <w:color w:val="auto"/>
          <w:sz w:val="21"/>
          <w:szCs w:val="21"/>
          <w:highlight w:val="none"/>
          <w:u w:val="single"/>
          <w:lang w:eastAsia="zh-CN"/>
        </w:rPr>
        <w:t xml:space="preserve">       </w:t>
      </w:r>
      <w:r>
        <w:rPr>
          <w:rFonts w:hint="eastAsia" w:ascii="宋体" w:hAnsi="宋体" w:eastAsia="宋体" w:cs="宋体"/>
          <w:b w:val="0"/>
          <w:color w:val="auto"/>
          <w:sz w:val="21"/>
          <w:szCs w:val="21"/>
          <w:highlight w:val="none"/>
          <w:lang w:eastAsia="zh-CN"/>
        </w:rPr>
        <w:t>日</w:t>
      </w:r>
    </w:p>
    <w:p w14:paraId="363123A7">
      <w:pPr>
        <w:rPr>
          <w:rFonts w:hint="eastAsia" w:ascii="宋体" w:hAnsi="宋体" w:eastAsia="宋体" w:cs="宋体"/>
          <w:b w:val="0"/>
          <w:color w:val="auto"/>
          <w:sz w:val="21"/>
          <w:szCs w:val="21"/>
          <w:highlight w:val="none"/>
          <w:lang w:eastAsia="zh-CN"/>
        </w:rPr>
      </w:pPr>
    </w:p>
    <w:p w14:paraId="17C7D510">
      <w:pPr>
        <w:pStyle w:val="7"/>
        <w:rPr>
          <w:rFonts w:hint="eastAsia" w:ascii="宋体" w:hAnsi="宋体" w:eastAsia="宋体" w:cs="宋体"/>
          <w:b w:val="0"/>
          <w:color w:val="auto"/>
          <w:sz w:val="21"/>
          <w:szCs w:val="21"/>
          <w:highlight w:val="none"/>
          <w:lang w:eastAsia="zh-CN"/>
        </w:rPr>
      </w:pPr>
    </w:p>
    <w:p w14:paraId="26CD2457">
      <w:pPr>
        <w:rPr>
          <w:rFonts w:hint="eastAsia" w:ascii="宋体" w:hAnsi="宋体" w:eastAsia="宋体" w:cs="宋体"/>
          <w:b w:val="0"/>
          <w:color w:val="auto"/>
          <w:sz w:val="21"/>
          <w:szCs w:val="21"/>
          <w:highlight w:val="none"/>
          <w:lang w:eastAsia="zh-CN"/>
        </w:rPr>
      </w:pPr>
    </w:p>
    <w:p w14:paraId="7F5424E3">
      <w:pPr>
        <w:pStyle w:val="7"/>
        <w:rPr>
          <w:rFonts w:hint="eastAsia" w:ascii="宋体" w:hAnsi="宋体" w:eastAsia="宋体" w:cs="宋体"/>
          <w:color w:val="auto"/>
          <w:highlight w:val="none"/>
          <w:lang w:eastAsia="zh-CN"/>
        </w:rPr>
      </w:pPr>
    </w:p>
    <w:p w14:paraId="2136D2F0">
      <w:pPr>
        <w:rPr>
          <w:rFonts w:hint="eastAsia" w:ascii="宋体" w:hAnsi="宋体" w:eastAsia="宋体" w:cs="宋体"/>
          <w:color w:val="auto"/>
          <w:highlight w:val="none"/>
          <w:lang w:eastAsia="zh-CN"/>
        </w:rPr>
      </w:pPr>
    </w:p>
    <w:p w14:paraId="37F1EFA2">
      <w:pPr>
        <w:pStyle w:val="2"/>
        <w:rPr>
          <w:rFonts w:hint="eastAsia" w:ascii="宋体" w:hAnsi="宋体" w:eastAsia="宋体" w:cs="宋体"/>
          <w:color w:val="auto"/>
          <w:highlight w:val="none"/>
          <w:lang w:eastAsia="zh-CN"/>
        </w:rPr>
      </w:pPr>
    </w:p>
    <w:p w14:paraId="2815DDA0">
      <w:pPr>
        <w:pStyle w:val="2"/>
        <w:rPr>
          <w:rFonts w:hint="eastAsia" w:ascii="宋体" w:hAnsi="宋体" w:eastAsia="宋体" w:cs="宋体"/>
          <w:color w:val="auto"/>
          <w:highlight w:val="none"/>
          <w:lang w:eastAsia="zh-CN"/>
        </w:rPr>
      </w:pPr>
    </w:p>
    <w:p w14:paraId="158A6F7F">
      <w:pPr>
        <w:pStyle w:val="2"/>
        <w:rPr>
          <w:rFonts w:hint="eastAsia" w:ascii="宋体" w:hAnsi="宋体" w:eastAsia="宋体" w:cs="宋体"/>
          <w:color w:val="auto"/>
          <w:highlight w:val="none"/>
          <w:lang w:eastAsia="zh-CN"/>
        </w:rPr>
      </w:pPr>
    </w:p>
    <w:p w14:paraId="79CAB944">
      <w:pPr>
        <w:pStyle w:val="2"/>
        <w:rPr>
          <w:rFonts w:hint="eastAsia" w:ascii="宋体" w:hAnsi="宋体" w:eastAsia="宋体" w:cs="宋体"/>
          <w:color w:val="auto"/>
          <w:highlight w:val="none"/>
          <w:lang w:eastAsia="zh-CN"/>
        </w:rPr>
      </w:pPr>
    </w:p>
    <w:p w14:paraId="19FD5A3D">
      <w:pPr>
        <w:pStyle w:val="2"/>
        <w:rPr>
          <w:rFonts w:hint="eastAsia" w:ascii="宋体" w:hAnsi="宋体" w:eastAsia="宋体" w:cs="宋体"/>
          <w:color w:val="auto"/>
          <w:highlight w:val="none"/>
          <w:lang w:eastAsia="zh-CN"/>
        </w:rPr>
      </w:pPr>
    </w:p>
    <w:p w14:paraId="0E81CD30">
      <w:pPr>
        <w:pStyle w:val="2"/>
        <w:rPr>
          <w:rFonts w:hint="eastAsia" w:ascii="宋体" w:hAnsi="宋体" w:eastAsia="宋体" w:cs="宋体"/>
          <w:color w:val="auto"/>
          <w:highlight w:val="none"/>
          <w:lang w:eastAsia="zh-CN"/>
        </w:rPr>
      </w:pPr>
    </w:p>
    <w:p w14:paraId="3A3CA4DE">
      <w:pPr>
        <w:pStyle w:val="2"/>
        <w:rPr>
          <w:rFonts w:hint="eastAsia" w:ascii="宋体" w:hAnsi="宋体" w:eastAsia="宋体" w:cs="宋体"/>
          <w:color w:val="auto"/>
          <w:highlight w:val="none"/>
          <w:lang w:eastAsia="zh-CN"/>
        </w:rPr>
      </w:pPr>
    </w:p>
    <w:p w14:paraId="4BC3952C">
      <w:pPr>
        <w:pStyle w:val="29"/>
        <w:spacing w:line="443" w:lineRule="exact"/>
        <w:ind w:left="3" w:right="1" w:firstLine="0"/>
        <w:jc w:val="center"/>
        <w:outlineLvl w:val="3"/>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（五）节能产品、环境标志认证证书</w:t>
      </w:r>
    </w:p>
    <w:p w14:paraId="3F3F1FC3">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（格式内容自拟）</w:t>
      </w:r>
    </w:p>
    <w:p w14:paraId="5DA05508">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11D5C027">
      <w:pPr>
        <w:pStyle w:val="2"/>
        <w:rPr>
          <w:rFonts w:hint="eastAsia" w:ascii="宋体" w:hAnsi="宋体" w:eastAsia="宋体" w:cs="宋体"/>
          <w:color w:val="auto"/>
          <w:highlight w:val="none"/>
          <w:lang w:val="en-US" w:eastAsia="zh-CN"/>
        </w:rPr>
      </w:pPr>
    </w:p>
    <w:p w14:paraId="0D861E77">
      <w:pPr>
        <w:pStyle w:val="2"/>
        <w:rPr>
          <w:rFonts w:hint="eastAsia" w:ascii="宋体" w:hAnsi="宋体" w:eastAsia="宋体" w:cs="宋体"/>
          <w:color w:val="auto"/>
          <w:highlight w:val="none"/>
          <w:lang w:val="en-US" w:eastAsia="zh-CN"/>
        </w:rPr>
      </w:pPr>
    </w:p>
    <w:p w14:paraId="461362A4">
      <w:pPr>
        <w:pStyle w:val="2"/>
        <w:rPr>
          <w:rFonts w:hint="eastAsia" w:ascii="宋体" w:hAnsi="宋体" w:eastAsia="宋体" w:cs="宋体"/>
          <w:color w:val="auto"/>
          <w:highlight w:val="none"/>
          <w:lang w:val="en-US" w:eastAsia="zh-CN"/>
        </w:rPr>
      </w:pPr>
    </w:p>
    <w:p w14:paraId="276A2A9C">
      <w:pPr>
        <w:pStyle w:val="2"/>
        <w:rPr>
          <w:rFonts w:hint="eastAsia" w:ascii="宋体" w:hAnsi="宋体" w:eastAsia="宋体" w:cs="宋体"/>
          <w:color w:val="auto"/>
          <w:highlight w:val="none"/>
          <w:lang w:val="en-US" w:eastAsia="zh-CN"/>
        </w:rPr>
      </w:pPr>
    </w:p>
    <w:p w14:paraId="2EA72AD6">
      <w:pPr>
        <w:pStyle w:val="2"/>
        <w:rPr>
          <w:rFonts w:hint="eastAsia" w:ascii="宋体" w:hAnsi="宋体" w:eastAsia="宋体" w:cs="宋体"/>
          <w:color w:val="auto"/>
          <w:highlight w:val="none"/>
          <w:lang w:val="en-US" w:eastAsia="zh-CN"/>
        </w:rPr>
      </w:pPr>
    </w:p>
    <w:p w14:paraId="6D75186F">
      <w:pPr>
        <w:pStyle w:val="2"/>
        <w:rPr>
          <w:rFonts w:hint="eastAsia" w:ascii="宋体" w:hAnsi="宋体" w:eastAsia="宋体" w:cs="宋体"/>
          <w:color w:val="auto"/>
          <w:highlight w:val="none"/>
          <w:lang w:val="en-US" w:eastAsia="zh-CN"/>
        </w:rPr>
      </w:pPr>
    </w:p>
    <w:p w14:paraId="5B4CC0EE">
      <w:pPr>
        <w:pStyle w:val="2"/>
        <w:rPr>
          <w:rFonts w:hint="eastAsia" w:ascii="宋体" w:hAnsi="宋体" w:eastAsia="宋体" w:cs="宋体"/>
          <w:color w:val="auto"/>
          <w:highlight w:val="none"/>
          <w:lang w:val="en-US" w:eastAsia="zh-CN"/>
        </w:rPr>
      </w:pPr>
    </w:p>
    <w:p w14:paraId="2242479C">
      <w:pPr>
        <w:pStyle w:val="2"/>
        <w:rPr>
          <w:rFonts w:hint="eastAsia" w:ascii="宋体" w:hAnsi="宋体" w:eastAsia="宋体" w:cs="宋体"/>
          <w:color w:val="auto"/>
          <w:highlight w:val="none"/>
          <w:lang w:val="en-US" w:eastAsia="zh-CN"/>
        </w:rPr>
      </w:pPr>
    </w:p>
    <w:p w14:paraId="7D110155">
      <w:pPr>
        <w:pStyle w:val="2"/>
        <w:rPr>
          <w:rFonts w:hint="eastAsia" w:ascii="宋体" w:hAnsi="宋体" w:eastAsia="宋体" w:cs="宋体"/>
          <w:color w:val="auto"/>
          <w:highlight w:val="none"/>
          <w:lang w:val="en-US" w:eastAsia="zh-CN"/>
        </w:rPr>
      </w:pPr>
    </w:p>
    <w:p w14:paraId="29D00836">
      <w:pPr>
        <w:pStyle w:val="2"/>
        <w:rPr>
          <w:rFonts w:hint="eastAsia" w:ascii="宋体" w:hAnsi="宋体" w:eastAsia="宋体" w:cs="宋体"/>
          <w:color w:val="auto"/>
          <w:highlight w:val="none"/>
          <w:lang w:val="en-US" w:eastAsia="zh-CN"/>
        </w:rPr>
      </w:pPr>
    </w:p>
    <w:p w14:paraId="7D8BAE8B">
      <w:pPr>
        <w:pStyle w:val="2"/>
        <w:rPr>
          <w:rFonts w:hint="eastAsia" w:ascii="宋体" w:hAnsi="宋体" w:eastAsia="宋体" w:cs="宋体"/>
          <w:color w:val="auto"/>
          <w:highlight w:val="none"/>
          <w:lang w:val="en-US" w:eastAsia="zh-CN"/>
        </w:rPr>
      </w:pPr>
    </w:p>
    <w:p w14:paraId="34E95913">
      <w:pPr>
        <w:pStyle w:val="2"/>
        <w:rPr>
          <w:rFonts w:hint="eastAsia" w:ascii="宋体" w:hAnsi="宋体" w:eastAsia="宋体" w:cs="宋体"/>
          <w:color w:val="auto"/>
          <w:highlight w:val="none"/>
          <w:lang w:val="en-US" w:eastAsia="zh-CN"/>
        </w:rPr>
      </w:pPr>
    </w:p>
    <w:p w14:paraId="6E5CEA92">
      <w:pPr>
        <w:pStyle w:val="2"/>
        <w:rPr>
          <w:rFonts w:hint="eastAsia" w:ascii="宋体" w:hAnsi="宋体" w:eastAsia="宋体" w:cs="宋体"/>
          <w:color w:val="auto"/>
          <w:highlight w:val="none"/>
          <w:lang w:val="en-US" w:eastAsia="zh-CN"/>
        </w:rPr>
      </w:pPr>
    </w:p>
    <w:p w14:paraId="49B33947">
      <w:pPr>
        <w:pStyle w:val="2"/>
        <w:rPr>
          <w:rFonts w:hint="eastAsia" w:ascii="宋体" w:hAnsi="宋体" w:eastAsia="宋体" w:cs="宋体"/>
          <w:color w:val="auto"/>
          <w:highlight w:val="none"/>
          <w:lang w:val="en-US" w:eastAsia="zh-CN"/>
        </w:rPr>
      </w:pPr>
    </w:p>
    <w:p w14:paraId="2AD58D71">
      <w:pPr>
        <w:pStyle w:val="2"/>
        <w:rPr>
          <w:rFonts w:hint="eastAsia" w:ascii="宋体" w:hAnsi="宋体" w:eastAsia="宋体" w:cs="宋体"/>
          <w:color w:val="auto"/>
          <w:highlight w:val="none"/>
          <w:lang w:val="en-US" w:eastAsia="zh-CN"/>
        </w:rPr>
      </w:pPr>
    </w:p>
    <w:p w14:paraId="30378251">
      <w:pPr>
        <w:pStyle w:val="2"/>
        <w:rPr>
          <w:rFonts w:hint="eastAsia" w:ascii="宋体" w:hAnsi="宋体" w:eastAsia="宋体" w:cs="宋体"/>
          <w:color w:val="auto"/>
          <w:highlight w:val="none"/>
          <w:lang w:val="en-US" w:eastAsia="zh-CN"/>
        </w:rPr>
      </w:pPr>
    </w:p>
    <w:p w14:paraId="1D03D3EC">
      <w:pPr>
        <w:pStyle w:val="2"/>
        <w:rPr>
          <w:rFonts w:hint="eastAsia" w:ascii="宋体" w:hAnsi="宋体" w:eastAsia="宋体" w:cs="宋体"/>
          <w:color w:val="auto"/>
          <w:highlight w:val="none"/>
          <w:lang w:val="en-US" w:eastAsia="zh-CN"/>
        </w:rPr>
      </w:pPr>
    </w:p>
    <w:p w14:paraId="3950948B">
      <w:pPr>
        <w:pStyle w:val="2"/>
        <w:rPr>
          <w:rFonts w:hint="eastAsia" w:ascii="宋体" w:hAnsi="宋体" w:eastAsia="宋体" w:cs="宋体"/>
          <w:color w:val="auto"/>
          <w:highlight w:val="none"/>
          <w:lang w:val="en-US" w:eastAsia="zh-CN"/>
        </w:rPr>
      </w:pPr>
    </w:p>
    <w:p w14:paraId="73B26E50">
      <w:pPr>
        <w:pStyle w:val="2"/>
        <w:ind w:left="0" w:leftChars="0" w:firstLine="0" w:firstLineChars="0"/>
        <w:rPr>
          <w:rFonts w:hint="eastAsia" w:ascii="宋体" w:hAnsi="宋体" w:eastAsia="宋体" w:cs="宋体"/>
          <w:color w:val="auto"/>
          <w:highlight w:val="none"/>
          <w:lang w:val="en-US" w:eastAsia="zh-CN"/>
        </w:rPr>
      </w:pPr>
    </w:p>
    <w:p w14:paraId="4F00B40B">
      <w:pPr>
        <w:pStyle w:val="29"/>
        <w:spacing w:line="443" w:lineRule="exact"/>
        <w:ind w:left="3" w:right="1" w:firstLine="0"/>
        <w:jc w:val="center"/>
        <w:outlineLvl w:val="3"/>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）投标人认为需要提供的其他资料（若有）</w:t>
      </w:r>
    </w:p>
    <w:p w14:paraId="0EBA734A">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（格式内容自拟）</w:t>
      </w:r>
    </w:p>
    <w:p w14:paraId="19E67BCD">
      <w:pPr>
        <w:rPr>
          <w:rFonts w:hint="eastAsia" w:ascii="宋体" w:hAnsi="宋体" w:eastAsia="宋体" w:cs="宋体"/>
          <w:b/>
          <w:bCs/>
          <w:color w:val="auto"/>
          <w:sz w:val="32"/>
          <w:szCs w:val="32"/>
          <w:highlight w:val="none"/>
          <w:lang w:eastAsia="zh-CN"/>
        </w:rPr>
      </w:pPr>
    </w:p>
    <w:p w14:paraId="357D3738">
      <w:pPr>
        <w:rPr>
          <w:rFonts w:hint="eastAsia" w:ascii="宋体" w:hAnsi="宋体" w:eastAsia="宋体" w:cs="宋体"/>
          <w:color w:val="auto"/>
          <w:highlight w:val="none"/>
          <w:lang w:eastAsia="zh-CN"/>
        </w:rPr>
      </w:pPr>
    </w:p>
    <w:p w14:paraId="24EC00C3">
      <w:pPr>
        <w:pStyle w:val="23"/>
        <w:rPr>
          <w:rFonts w:hint="default" w:ascii="Times New Roman" w:hAnsi="Times New Roman" w:eastAsia="仿宋_GB2312" w:cs="Times New Roman"/>
          <w:sz w:val="28"/>
          <w:szCs w:val="28"/>
          <w:lang w:val="en-US" w:eastAsia="zh-Hans"/>
        </w:rPr>
      </w:pPr>
    </w:p>
    <w:sectPr>
      <w:headerReference r:id="rId17" w:type="default"/>
      <w:footerReference r:id="rId1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F13158-CCE7-43E7-9660-56D53246A17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260F9EA-C6B5-4001-B6A3-10FE988F9B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3" w:fontKey="{8A2F06F8-7E49-43EE-B63C-4ED9C468E0B0}"/>
  </w:font>
  <w:font w:name="Microsoft JhengHei">
    <w:panose1 w:val="020B0604030504040204"/>
    <w:charset w:val="88"/>
    <w:family w:val="swiss"/>
    <w:pitch w:val="default"/>
    <w:sig w:usb0="000002A7" w:usb1="28CF4400" w:usb2="00000016" w:usb3="00000000" w:csb0="00100009" w:csb1="00000000"/>
  </w:font>
  <w:font w:name="@MS PMincho">
    <w:altName w:val="Yu Gothic UI"/>
    <w:panose1 w:val="02020600040205080304"/>
    <w:charset w:val="80"/>
    <w:family w:val="roma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69FAC131-CC04-44A1-B50A-F680E5509B8B}"/>
  </w:font>
  <w:font w:name="方正仿宋_GBK">
    <w:panose1 w:val="02000000000000000000"/>
    <w:charset w:val="86"/>
    <w:family w:val="script"/>
    <w:pitch w:val="default"/>
    <w:sig w:usb0="00000001" w:usb1="080E0000" w:usb2="00000000" w:usb3="00000000" w:csb0="00040000" w:csb1="00000000"/>
    <w:embedRegular r:id="rId5" w:fontKey="{D31AD2DA-DEFC-4438-9048-CD91B63E4414}"/>
  </w:font>
  <w:font w:name="方正书宋_GBK">
    <w:panose1 w:val="02000000000000000000"/>
    <w:charset w:val="86"/>
    <w:family w:val="auto"/>
    <w:pitch w:val="default"/>
    <w:sig w:usb0="A00002BF" w:usb1="38CF7CFA" w:usb2="00082016" w:usb3="00000000" w:csb0="00040001" w:csb1="00000000"/>
    <w:embedRegular r:id="rId6" w:fontKey="{C0D800DE-3A97-4B4B-A787-8F0EA37946EF}"/>
  </w:font>
  <w:font w:name="汉仪书宋二S">
    <w:altName w:val="宋体"/>
    <w:panose1 w:val="00000000000000000000"/>
    <w:charset w:val="00"/>
    <w:family w:val="auto"/>
    <w:pitch w:val="default"/>
    <w:sig w:usb0="00000000" w:usb1="00000000" w:usb2="00000000" w:usb3="00000000" w:csb0="00040001" w:csb1="00000000"/>
    <w:embedRegular r:id="rId7" w:fontKey="{B3F6C4E3-C5BC-4B85-AB82-1BB965EA40A3}"/>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57F3">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66BB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66BB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E843">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1E18C8">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81E18C8">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B2B4">
    <w:pPr>
      <w:pStyle w:val="11"/>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2EA28">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342EA28">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v:textbox>
            </v:shape>
          </w:pict>
        </mc:Fallback>
      </mc:AlternateContent>
    </w:r>
  </w:p>
  <w:p w14:paraId="0662D6E9">
    <w:pPr>
      <w:pStyle w:val="7"/>
      <w:spacing w:line="14" w:lineRule="auto"/>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A37B">
    <w:pPr>
      <w:pStyle w:val="11"/>
      <w:jc w:val="cente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65865">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D765865">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v:textbox>
            </v:shape>
          </w:pict>
        </mc:Fallback>
      </mc:AlternateContent>
    </w:r>
  </w:p>
  <w:p w14:paraId="69E8868D">
    <w:pPr>
      <w:pStyle w:val="7"/>
      <w:spacing w:line="14" w:lineRule="auto"/>
      <w:rPr>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E2474">
    <w:pPr>
      <w:pStyle w:val="11"/>
      <w:jc w:val="cente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85737">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E485737">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v:textbox>
            </v:shape>
          </w:pict>
        </mc:Fallback>
      </mc:AlternateContent>
    </w:r>
  </w:p>
  <w:p w14:paraId="7B80C4FB">
    <w:pPr>
      <w:pStyle w:val="7"/>
      <w:spacing w:line="14" w:lineRule="auto"/>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5E1D">
    <w:pPr>
      <w:pStyle w:val="11"/>
      <w:jc w:val="cente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B62BD">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9FB62BD">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v:textbox>
            </v:shape>
          </w:pict>
        </mc:Fallback>
      </mc:AlternateContent>
    </w:r>
  </w:p>
  <w:p w14:paraId="0818A453">
    <w:pPr>
      <w:pStyle w:val="7"/>
      <w:spacing w:line="14" w:lineRule="auto"/>
      <w:rPr>
        <w:sz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43245">
    <w:pPr>
      <w:pStyle w:val="11"/>
      <w:jc w:val="cente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49774">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CA49774">
                    <w:pPr>
                      <w:pStyle w:val="11"/>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126</w:t>
                    </w:r>
                    <w:r>
                      <w:rPr>
                        <w:rFonts w:hint="eastAsia"/>
                        <w:lang w:eastAsia="zh-CN"/>
                      </w:rPr>
                      <w:fldChar w:fldCharType="end"/>
                    </w:r>
                  </w:p>
                </w:txbxContent>
              </v:textbox>
            </v:shape>
          </w:pict>
        </mc:Fallback>
      </mc:AlternateContent>
    </w:r>
  </w:p>
  <w:p w14:paraId="72C12D20">
    <w:pPr>
      <w:pStyle w:val="7"/>
      <w:spacing w:line="14" w:lineRule="auto"/>
      <w:rPr>
        <w:sz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9DFF">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7A10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D7A10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3F3E1">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2795">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426A">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E8B1F">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29928">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DDD7">
    <w:pPr>
      <w:pStyle w:val="1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CCFD">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30D3">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E0C0E"/>
    <w:multiLevelType w:val="singleLevel"/>
    <w:tmpl w:val="861E0C0E"/>
    <w:lvl w:ilvl="0" w:tentative="0">
      <w:start w:val="4"/>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C2CC34F"/>
    <w:multiLevelType w:val="singleLevel"/>
    <w:tmpl w:val="FC2CC34F"/>
    <w:lvl w:ilvl="0" w:tentative="0">
      <w:start w:val="2"/>
      <w:numFmt w:val="chineseCounting"/>
      <w:suff w:val="nothing"/>
      <w:lvlText w:val="（%1）"/>
      <w:lvlJc w:val="left"/>
      <w:rPr>
        <w:rFonts w:hint="eastAsia"/>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18B4366C"/>
    <w:multiLevelType w:val="singleLevel"/>
    <w:tmpl w:val="18B4366C"/>
    <w:lvl w:ilvl="0" w:tentative="0">
      <w:start w:val="1"/>
      <w:numFmt w:val="decimal"/>
      <w:lvlText w:val="%1."/>
      <w:lvlJc w:val="left"/>
      <w:pPr>
        <w:tabs>
          <w:tab w:val="left" w:pos="312"/>
        </w:tabs>
      </w:pPr>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75BDC381"/>
    <w:multiLevelType w:val="singleLevel"/>
    <w:tmpl w:val="75BDC381"/>
    <w:lvl w:ilvl="0" w:tentative="0">
      <w:start w:val="1"/>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9"/>
  </w:num>
  <w:num w:numId="2">
    <w:abstractNumId w:val="10"/>
  </w:num>
  <w:num w:numId="3">
    <w:abstractNumId w:val="11"/>
  </w:num>
  <w:num w:numId="4">
    <w:abstractNumId w:val="2"/>
  </w:num>
  <w:num w:numId="5">
    <w:abstractNumId w:val="7"/>
  </w:num>
  <w:num w:numId="6">
    <w:abstractNumId w:val="4"/>
  </w:num>
  <w:num w:numId="7">
    <w:abstractNumId w:val="3"/>
  </w:num>
  <w:num w:numId="8">
    <w:abstractNumId w:val="1"/>
  </w:num>
  <w:num w:numId="9">
    <w:abstractNumId w:val="5"/>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53B52B8D"/>
    <w:rsid w:val="08D71072"/>
    <w:rsid w:val="094D4AED"/>
    <w:rsid w:val="0A740EC6"/>
    <w:rsid w:val="0B5078B4"/>
    <w:rsid w:val="0F0547E3"/>
    <w:rsid w:val="10BB194B"/>
    <w:rsid w:val="10F65E71"/>
    <w:rsid w:val="12282CC2"/>
    <w:rsid w:val="15E11B06"/>
    <w:rsid w:val="177F50ED"/>
    <w:rsid w:val="1ACC47D9"/>
    <w:rsid w:val="1B4124A5"/>
    <w:rsid w:val="1E0F11DA"/>
    <w:rsid w:val="1F6E6F9B"/>
    <w:rsid w:val="214747E7"/>
    <w:rsid w:val="2460453E"/>
    <w:rsid w:val="24A94B62"/>
    <w:rsid w:val="29833800"/>
    <w:rsid w:val="2A6325F3"/>
    <w:rsid w:val="2A6521E3"/>
    <w:rsid w:val="2EB25207"/>
    <w:rsid w:val="2FA379D4"/>
    <w:rsid w:val="2FFD70E5"/>
    <w:rsid w:val="30493EAF"/>
    <w:rsid w:val="3139239E"/>
    <w:rsid w:val="31A83080"/>
    <w:rsid w:val="34855C56"/>
    <w:rsid w:val="35F9442F"/>
    <w:rsid w:val="39CD096E"/>
    <w:rsid w:val="3B3360B0"/>
    <w:rsid w:val="3D324146"/>
    <w:rsid w:val="3F77062B"/>
    <w:rsid w:val="40FB141E"/>
    <w:rsid w:val="410560B2"/>
    <w:rsid w:val="41AF045B"/>
    <w:rsid w:val="42204EB5"/>
    <w:rsid w:val="43721740"/>
    <w:rsid w:val="488C1A77"/>
    <w:rsid w:val="4A1B043B"/>
    <w:rsid w:val="4AF62C56"/>
    <w:rsid w:val="4C4F018B"/>
    <w:rsid w:val="4C9444D5"/>
    <w:rsid w:val="4CDE7998"/>
    <w:rsid w:val="4FFE562A"/>
    <w:rsid w:val="50E05F3B"/>
    <w:rsid w:val="530C3017"/>
    <w:rsid w:val="53B52B8D"/>
    <w:rsid w:val="54B03E76"/>
    <w:rsid w:val="55CF597A"/>
    <w:rsid w:val="56864602"/>
    <w:rsid w:val="571B2792"/>
    <w:rsid w:val="57D8196B"/>
    <w:rsid w:val="58F05189"/>
    <w:rsid w:val="5ABB429C"/>
    <w:rsid w:val="5B9032A3"/>
    <w:rsid w:val="5F7420BA"/>
    <w:rsid w:val="62FB0977"/>
    <w:rsid w:val="63D23E09"/>
    <w:rsid w:val="66D061F4"/>
    <w:rsid w:val="6C1036C9"/>
    <w:rsid w:val="70C86EF9"/>
    <w:rsid w:val="72543DD3"/>
    <w:rsid w:val="74FF081C"/>
    <w:rsid w:val="77F79321"/>
    <w:rsid w:val="79550771"/>
    <w:rsid w:val="7BFB4EA6"/>
    <w:rsid w:val="7DB45A7A"/>
    <w:rsid w:val="7FC8084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rFonts w:ascii="Times New Roman" w:hAnsi="Times New Roman" w:eastAsia="黑体"/>
      <w:bCs/>
      <w:kern w:val="44"/>
      <w:sz w:val="32"/>
      <w:szCs w:val="4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qFormat/>
    <w:uiPriority w:val="0"/>
    <w:pPr>
      <w:ind w:firstLine="420" w:firstLineChars="200"/>
    </w:pPr>
    <w:rPr>
      <w:sz w:val="24"/>
      <w:szCs w:val="20"/>
    </w:rPr>
  </w:style>
  <w:style w:type="paragraph" w:styleId="7">
    <w:name w:val="Body Text"/>
    <w:basedOn w:val="1"/>
    <w:next w:val="1"/>
    <w:qFormat/>
    <w:uiPriority w:val="99"/>
    <w:rPr>
      <w:sz w:val="21"/>
      <w:szCs w:val="21"/>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pPr>
      <w:autoSpaceDE w:val="0"/>
      <w:autoSpaceDN w:val="0"/>
      <w:adjustRightInd w:val="0"/>
      <w:jc w:val="left"/>
    </w:pPr>
    <w:rPr>
      <w:rFonts w:ascii="宋体" w:hAnsi="Courier New"/>
      <w:szCs w:val="21"/>
    </w:rPr>
  </w:style>
  <w:style w:type="paragraph" w:styleId="10">
    <w:name w:val="Body Text Indent 2"/>
    <w:basedOn w:val="1"/>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semiHidden/>
    <w:unhideWhenUsed/>
    <w:qFormat/>
    <w:uiPriority w:val="99"/>
    <w:pPr>
      <w:widowControl/>
      <w:autoSpaceDE/>
      <w:autoSpaceDN/>
      <w:spacing w:before="100" w:beforeAutospacing="1" w:after="100" w:afterAutospacing="1"/>
    </w:pPr>
    <w:rPr>
      <w:sz w:val="24"/>
      <w:szCs w:val="24"/>
      <w:lang w:eastAsia="zh-CN"/>
    </w:rPr>
  </w:style>
  <w:style w:type="paragraph" w:styleId="14">
    <w:name w:val="Body Text First Indent"/>
    <w:basedOn w:val="7"/>
    <w:next w:val="1"/>
    <w:qFormat/>
    <w:uiPriority w:val="0"/>
    <w:pPr>
      <w:spacing w:line="312" w:lineRule="auto"/>
      <w:ind w:firstLine="420"/>
    </w:pPr>
  </w:style>
  <w:style w:type="paragraph" w:styleId="15">
    <w:name w:val="Body Text First Indent 2"/>
    <w:basedOn w:val="8"/>
    <w:next w:val="14"/>
    <w:qFormat/>
    <w:uiPriority w:val="0"/>
    <w:pPr>
      <w:tabs>
        <w:tab w:val="left" w:pos="0"/>
      </w:tabs>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标题 5（有编号）（绿盟科技）"/>
    <w:basedOn w:val="1"/>
    <w:next w:val="22"/>
    <w:autoRedefine/>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2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标题 11"/>
    <w:basedOn w:val="1"/>
    <w:qFormat/>
    <w:uiPriority w:val="1"/>
    <w:pPr>
      <w:spacing w:line="590" w:lineRule="exact"/>
      <w:ind w:left="3"/>
      <w:outlineLvl w:val="1"/>
    </w:pPr>
    <w:rPr>
      <w:rFonts w:ascii="Microsoft JhengHei" w:hAnsi="Microsoft JhengHei" w:eastAsia="Microsoft JhengHei" w:cs="Microsoft JhengHei"/>
      <w:b/>
      <w:bCs/>
      <w:sz w:val="44"/>
      <w:szCs w:val="44"/>
    </w:rPr>
  </w:style>
  <w:style w:type="paragraph" w:customStyle="1" w:styleId="25">
    <w:name w:val="列出段落1"/>
    <w:basedOn w:val="1"/>
    <w:qFormat/>
    <w:uiPriority w:val="34"/>
    <w:pPr>
      <w:ind w:firstLine="420" w:firstLineChars="200"/>
    </w:pPr>
    <w:rPr>
      <w:rFonts w:ascii="Calibri" w:hAnsi="Calibri"/>
    </w:rPr>
  </w:style>
  <w:style w:type="paragraph" w:styleId="26">
    <w:name w:val="List Paragraph"/>
    <w:basedOn w:val="1"/>
    <w:qFormat/>
    <w:uiPriority w:val="34"/>
    <w:pPr>
      <w:ind w:left="100" w:firstLine="420"/>
    </w:p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p0"/>
    <w:basedOn w:val="1"/>
    <w:qFormat/>
    <w:uiPriority w:val="0"/>
    <w:pPr>
      <w:widowControl/>
    </w:pPr>
    <w:rPr>
      <w:rFonts w:ascii="@MS PMincho" w:hAnsi="@MS PMincho"/>
      <w:kern w:val="0"/>
    </w:rPr>
  </w:style>
  <w:style w:type="paragraph" w:customStyle="1" w:styleId="29">
    <w:name w:val="标题 21"/>
    <w:basedOn w:val="1"/>
    <w:qFormat/>
    <w:uiPriority w:val="1"/>
    <w:pPr>
      <w:ind w:left="501" w:hanging="401"/>
      <w:outlineLvl w:val="2"/>
    </w:pPr>
    <w:rPr>
      <w:rFonts w:ascii="Microsoft JhengHei" w:hAnsi="Microsoft JhengHei" w:eastAsia="Microsoft JhengHei" w:cs="Microsoft JhengHei"/>
      <w:b/>
      <w:bCs/>
      <w:sz w:val="32"/>
      <w:szCs w:val="32"/>
    </w:rPr>
  </w:style>
  <w:style w:type="paragraph" w:customStyle="1" w:styleId="30">
    <w:name w:val="标题 31"/>
    <w:basedOn w:val="1"/>
    <w:qFormat/>
    <w:uiPriority w:val="1"/>
    <w:pPr>
      <w:ind w:left="726" w:hanging="489"/>
      <w:outlineLvl w:val="3"/>
    </w:pPr>
    <w:rPr>
      <w:sz w:val="28"/>
      <w:szCs w:val="28"/>
    </w:rPr>
  </w:style>
  <w:style w:type="paragraph" w:customStyle="1" w:styleId="31">
    <w:name w:val="Table Paragraph"/>
    <w:basedOn w:val="1"/>
    <w:qFormat/>
    <w:uiPriority w:val="1"/>
  </w:style>
  <w:style w:type="table" w:customStyle="1" w:styleId="32">
    <w:name w:val="Table Normal_0"/>
    <w:semiHidden/>
    <w:unhideWhenUsed/>
    <w:qFormat/>
    <w:uiPriority w:val="2"/>
    <w:tblPr>
      <w:tblCellMar>
        <w:top w:w="0" w:type="dxa"/>
        <w:left w:w="0" w:type="dxa"/>
        <w:bottom w:w="0" w:type="dxa"/>
        <w:right w:w="0" w:type="dxa"/>
      </w:tblCellMar>
    </w:tblPr>
  </w:style>
  <w:style w:type="paragraph" w:customStyle="1" w:styleId="33">
    <w:name w:val="Heading #2|1"/>
    <w:basedOn w:val="1"/>
    <w:qFormat/>
    <w:uiPriority w:val="0"/>
    <w:pPr>
      <w:spacing w:after="420" w:line="590" w:lineRule="exact"/>
      <w:jc w:val="center"/>
      <w:outlineLvl w:val="1"/>
    </w:pPr>
    <w:rPr>
      <w:sz w:val="42"/>
      <w:szCs w:val="42"/>
      <w:lang w:val="zh-TW" w:eastAsia="zh-TW" w:bidi="zh-TW"/>
    </w:rPr>
  </w:style>
  <w:style w:type="character" w:customStyle="1" w:styleId="34">
    <w:name w:val="fontstyle01"/>
    <w:basedOn w:val="18"/>
    <w:qFormat/>
    <w:uiPriority w:val="0"/>
    <w:rPr>
      <w:rFonts w:hint="eastAsia" w:ascii="宋体" w:hAnsi="宋体" w:eastAsia="宋体"/>
      <w:color w:val="000000"/>
      <w:sz w:val="24"/>
      <w:szCs w:val="24"/>
    </w:rPr>
  </w:style>
  <w:style w:type="paragraph" w:customStyle="1" w:styleId="35">
    <w:name w:val="样式 样式 首行缩进:  2.57 字符 + 首行缩进:  2.57 字符"/>
    <w:basedOn w:val="1"/>
    <w:qFormat/>
    <w:uiPriority w:val="0"/>
    <w:pPr>
      <w:widowControl/>
      <w:spacing w:line="360" w:lineRule="auto"/>
      <w:ind w:firstLine="771" w:firstLineChars="257"/>
      <w:jc w:val="left"/>
    </w:pPr>
    <w:rPr>
      <w:rFonts w:ascii="Times New Roman" w:hAnsi="Times New Roman" w:eastAsia="仿宋" w:cs="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47685</Words>
  <Characters>50944</Characters>
  <Lines>0</Lines>
  <Paragraphs>0</Paragraphs>
  <TotalTime>3</TotalTime>
  <ScaleCrop>false</ScaleCrop>
  <LinksUpToDate>false</LinksUpToDate>
  <CharactersWithSpaces>54400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Fr e e to soar</cp:lastModifiedBy>
  <dcterms:modified xsi:type="dcterms:W3CDTF">2025-08-15T10:12:27Z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F2145EBD0EBE4AF3AB6476D54B76F1BA_13</vt:lpwstr>
  </property>
</Properties>
</file>